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205" w:rsidRDefault="007F5205" w:rsidP="007F5205">
      <w:pPr>
        <w:jc w:val="right"/>
        <w:rPr>
          <w:b/>
        </w:rPr>
      </w:pPr>
    </w:p>
    <w:p w:rsidR="00B64E05" w:rsidRPr="007F5205" w:rsidRDefault="007F5205" w:rsidP="007F5205">
      <w:pPr>
        <w:jc w:val="right"/>
        <w:rPr>
          <w:b/>
        </w:rPr>
      </w:pPr>
      <w:r w:rsidRPr="007F5205">
        <w:rPr>
          <w:b/>
        </w:rPr>
        <w:t xml:space="preserve">Appendix </w:t>
      </w:r>
      <w:r>
        <w:rPr>
          <w:b/>
        </w:rPr>
        <w:t>'</w:t>
      </w:r>
      <w:r w:rsidR="00C67DCE">
        <w:rPr>
          <w:b/>
        </w:rPr>
        <w:t>A</w:t>
      </w:r>
      <w:r>
        <w:rPr>
          <w:b/>
        </w:rPr>
        <w:t>'</w:t>
      </w:r>
    </w:p>
    <w:p w:rsidR="00B64E05" w:rsidRDefault="00B64E05"/>
    <w:tbl>
      <w:tblPr>
        <w:tblpPr w:leftFromText="187" w:rightFromText="187" w:horzAnchor="margin" w:tblpXSpec="center" w:tblpYSpec="bottom"/>
        <w:tblW w:w="4000" w:type="pct"/>
        <w:tblLook w:val="04A0"/>
      </w:tblPr>
      <w:tblGrid>
        <w:gridCol w:w="8478"/>
      </w:tblGrid>
      <w:tr w:rsidR="00B64E05">
        <w:tc>
          <w:tcPr>
            <w:tcW w:w="7672" w:type="dxa"/>
            <w:tcMar>
              <w:top w:w="216" w:type="dxa"/>
              <w:left w:w="115" w:type="dxa"/>
              <w:bottom w:w="216" w:type="dxa"/>
              <w:right w:w="115" w:type="dxa"/>
            </w:tcMar>
          </w:tcPr>
          <w:p w:rsidR="00B64E05" w:rsidRDefault="00B64E05">
            <w:pPr>
              <w:pStyle w:val="NoSpacing"/>
              <w:rPr>
                <w:color w:val="4F81BD" w:themeColor="accent1"/>
              </w:rPr>
            </w:pPr>
          </w:p>
          <w:sdt>
            <w:sdtPr>
              <w:rPr>
                <w:color w:val="4F81BD" w:themeColor="accent1"/>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64E05" w:rsidRDefault="00B64E05">
                <w:pPr>
                  <w:pStyle w:val="NoSpacing"/>
                  <w:rPr>
                    <w:color w:val="4F81BD" w:themeColor="accent1"/>
                  </w:rPr>
                </w:pPr>
                <w:r>
                  <w:rPr>
                    <w:color w:val="4F81BD" w:themeColor="accent1"/>
                  </w:rPr>
                  <w:t>2012 / 13</w:t>
                </w:r>
              </w:p>
            </w:sdtContent>
          </w:sdt>
          <w:p w:rsidR="00B64E05" w:rsidRDefault="00B64E05">
            <w:pPr>
              <w:pStyle w:val="NoSpacing"/>
              <w:rPr>
                <w:color w:val="4F81BD" w:themeColor="accent1"/>
              </w:rPr>
            </w:pPr>
          </w:p>
        </w:tc>
      </w:tr>
    </w:tbl>
    <w:p w:rsidR="00921A4F" w:rsidRPr="00921A4F" w:rsidRDefault="00921A4F">
      <w:pPr>
        <w:rPr>
          <w:sz w:val="28"/>
          <w:lang w:eastAsia="en-US"/>
        </w:rPr>
      </w:pPr>
    </w:p>
    <w:p w:rsidR="00921A4F" w:rsidRPr="00921A4F" w:rsidRDefault="00921A4F">
      <w:pPr>
        <w:rPr>
          <w:sz w:val="28"/>
          <w:lang w:eastAsia="en-US"/>
        </w:rPr>
      </w:pPr>
    </w:p>
    <w:p w:rsidR="00921A4F" w:rsidRPr="00921A4F" w:rsidRDefault="00921A4F">
      <w:pPr>
        <w:rPr>
          <w:sz w:val="28"/>
          <w:lang w:eastAsia="en-US"/>
        </w:rPr>
      </w:pPr>
    </w:p>
    <w:p w:rsidR="00130960" w:rsidRDefault="00130960" w:rsidP="007E348B">
      <w:pPr>
        <w:rPr>
          <w:sz w:val="28"/>
          <w:lang w:eastAsia="en-US"/>
        </w:rPr>
      </w:pPr>
    </w:p>
    <w:p w:rsidR="00130960" w:rsidRDefault="00130960" w:rsidP="007E348B">
      <w:pPr>
        <w:rPr>
          <w:sz w:val="28"/>
          <w:lang w:eastAsia="en-US"/>
        </w:rPr>
      </w:pPr>
    </w:p>
    <w:p w:rsidR="00897DBF" w:rsidRDefault="00130960">
      <w:pPr>
        <w:tabs>
          <w:tab w:val="left" w:pos="3990"/>
        </w:tabs>
        <w:rPr>
          <w:sz w:val="28"/>
          <w:lang w:eastAsia="en-US"/>
        </w:rPr>
      </w:pPr>
      <w:r>
        <w:rPr>
          <w:sz w:val="28"/>
          <w:lang w:eastAsia="en-US"/>
        </w:rPr>
        <w:tab/>
      </w:r>
    </w:p>
    <w:p w:rsidR="00897DBF" w:rsidRDefault="00897DBF">
      <w:pPr>
        <w:tabs>
          <w:tab w:val="left" w:pos="3990"/>
        </w:tabs>
        <w:rPr>
          <w:sz w:val="28"/>
          <w:lang w:eastAsia="en-US"/>
        </w:rPr>
      </w:pPr>
    </w:p>
    <w:p w:rsidR="00897DBF" w:rsidRDefault="00897DBF">
      <w:pPr>
        <w:tabs>
          <w:tab w:val="left" w:pos="3990"/>
        </w:tabs>
        <w:rPr>
          <w:sz w:val="28"/>
          <w:lang w:eastAsia="en-US"/>
        </w:rPr>
      </w:pPr>
    </w:p>
    <w:p w:rsidR="00897DBF" w:rsidRDefault="00670114">
      <w:pPr>
        <w:tabs>
          <w:tab w:val="left" w:pos="3990"/>
        </w:tabs>
        <w:ind w:left="567"/>
        <w:jc w:val="center"/>
        <w:rPr>
          <w:sz w:val="52"/>
          <w:szCs w:val="52"/>
          <w:lang w:eastAsia="en-US"/>
        </w:rPr>
      </w:pPr>
      <w:r w:rsidRPr="00670114">
        <w:rPr>
          <w:sz w:val="52"/>
          <w:szCs w:val="52"/>
          <w:lang w:eastAsia="en-US"/>
        </w:rPr>
        <w:t>Lancashire County Pension Fund</w:t>
      </w:r>
    </w:p>
    <w:p w:rsidR="00897DBF" w:rsidRDefault="00897DBF">
      <w:pPr>
        <w:tabs>
          <w:tab w:val="left" w:pos="3990"/>
        </w:tabs>
        <w:ind w:left="567"/>
        <w:jc w:val="center"/>
        <w:rPr>
          <w:sz w:val="52"/>
          <w:szCs w:val="52"/>
          <w:lang w:eastAsia="en-US"/>
        </w:rPr>
      </w:pPr>
    </w:p>
    <w:p w:rsidR="00897DBF" w:rsidRDefault="00670114">
      <w:pPr>
        <w:tabs>
          <w:tab w:val="left" w:pos="3990"/>
        </w:tabs>
        <w:ind w:left="567"/>
        <w:jc w:val="center"/>
        <w:rPr>
          <w:sz w:val="52"/>
          <w:szCs w:val="52"/>
          <w:lang w:eastAsia="en-US"/>
        </w:rPr>
      </w:pPr>
      <w:r w:rsidRPr="00670114">
        <w:rPr>
          <w:sz w:val="52"/>
          <w:szCs w:val="52"/>
          <w:lang w:eastAsia="en-US"/>
        </w:rPr>
        <w:t>Annual Report</w:t>
      </w:r>
    </w:p>
    <w:p w:rsidR="00897DBF" w:rsidRDefault="00897DBF">
      <w:pPr>
        <w:tabs>
          <w:tab w:val="left" w:pos="3990"/>
        </w:tabs>
        <w:jc w:val="center"/>
        <w:rPr>
          <w:sz w:val="40"/>
          <w:szCs w:val="40"/>
          <w:lang w:eastAsia="en-US"/>
        </w:rPr>
      </w:pPr>
    </w:p>
    <w:p w:rsidR="00897DBF" w:rsidRDefault="00670114">
      <w:pPr>
        <w:tabs>
          <w:tab w:val="left" w:pos="3990"/>
        </w:tabs>
        <w:ind w:left="567"/>
        <w:jc w:val="center"/>
        <w:rPr>
          <w:sz w:val="52"/>
          <w:szCs w:val="52"/>
          <w:lang w:eastAsia="en-US"/>
        </w:rPr>
      </w:pPr>
      <w:r w:rsidRPr="00670114">
        <w:rPr>
          <w:sz w:val="52"/>
          <w:szCs w:val="52"/>
          <w:lang w:eastAsia="en-US"/>
        </w:rPr>
        <w:t>2012 / 2013</w:t>
      </w:r>
    </w:p>
    <w:p w:rsidR="00B64E05" w:rsidRDefault="00670114" w:rsidP="007E348B">
      <w:pPr>
        <w:rPr>
          <w:b/>
          <w:snapToGrid w:val="0"/>
          <w:sz w:val="28"/>
          <w:lang w:eastAsia="en-US"/>
        </w:rPr>
      </w:pPr>
      <w:r w:rsidRPr="00670114">
        <w:rPr>
          <w:sz w:val="28"/>
          <w:lang w:eastAsia="en-US"/>
        </w:rPr>
        <w:br w:type="page"/>
      </w:r>
    </w:p>
    <w:p w:rsidR="003B412F" w:rsidRDefault="003B412F" w:rsidP="007E348B">
      <w:pPr>
        <w:rPr>
          <w:b/>
          <w:snapToGrid w:val="0"/>
          <w:sz w:val="28"/>
          <w:lang w:eastAsia="en-US"/>
        </w:rPr>
      </w:pPr>
    </w:p>
    <w:p w:rsidR="003B412F" w:rsidRDefault="003B412F" w:rsidP="007E348B">
      <w:pPr>
        <w:rPr>
          <w:b/>
          <w:snapToGrid w:val="0"/>
          <w:sz w:val="28"/>
          <w:lang w:eastAsia="en-US"/>
        </w:rPr>
      </w:pPr>
    </w:p>
    <w:p w:rsidR="000312BC" w:rsidRDefault="003B412F" w:rsidP="007E348B">
      <w:pPr>
        <w:rPr>
          <w:b/>
          <w:snapToGrid w:val="0"/>
          <w:sz w:val="28"/>
          <w:lang w:eastAsia="en-US"/>
        </w:rPr>
      </w:pPr>
      <w:r>
        <w:rPr>
          <w:b/>
          <w:snapToGrid w:val="0"/>
          <w:sz w:val="28"/>
          <w:lang w:eastAsia="en-US"/>
        </w:rPr>
        <w:t xml:space="preserve">Lancashire County Pension Fund </w:t>
      </w:r>
    </w:p>
    <w:p w:rsidR="000312BC" w:rsidRDefault="000312BC" w:rsidP="007E348B">
      <w:pPr>
        <w:rPr>
          <w:b/>
          <w:snapToGrid w:val="0"/>
          <w:sz w:val="28"/>
          <w:lang w:eastAsia="en-US"/>
        </w:rPr>
      </w:pPr>
    </w:p>
    <w:p w:rsidR="003B412F" w:rsidRDefault="00502734" w:rsidP="007E348B">
      <w:pPr>
        <w:rPr>
          <w:b/>
          <w:snapToGrid w:val="0"/>
          <w:sz w:val="28"/>
          <w:lang w:eastAsia="en-US"/>
        </w:rPr>
      </w:pPr>
      <w:r>
        <w:rPr>
          <w:b/>
          <w:snapToGrid w:val="0"/>
          <w:sz w:val="28"/>
          <w:lang w:eastAsia="en-US"/>
        </w:rPr>
        <w:t xml:space="preserve">Annual </w:t>
      </w:r>
      <w:proofErr w:type="gramStart"/>
      <w:r>
        <w:rPr>
          <w:b/>
          <w:snapToGrid w:val="0"/>
          <w:sz w:val="28"/>
          <w:lang w:eastAsia="en-US"/>
        </w:rPr>
        <w:t>Report</w:t>
      </w:r>
      <w:r w:rsidR="000312BC">
        <w:rPr>
          <w:b/>
          <w:snapToGrid w:val="0"/>
          <w:sz w:val="28"/>
          <w:lang w:eastAsia="en-US"/>
        </w:rPr>
        <w:t xml:space="preserve"> </w:t>
      </w:r>
      <w:r w:rsidR="003B412F">
        <w:rPr>
          <w:b/>
          <w:snapToGrid w:val="0"/>
          <w:sz w:val="28"/>
          <w:lang w:eastAsia="en-US"/>
        </w:rPr>
        <w:t xml:space="preserve"> 20</w:t>
      </w:r>
      <w:r w:rsidR="000F1BBF">
        <w:rPr>
          <w:b/>
          <w:snapToGrid w:val="0"/>
          <w:sz w:val="28"/>
          <w:lang w:eastAsia="en-US"/>
        </w:rPr>
        <w:t>1</w:t>
      </w:r>
      <w:r w:rsidR="007D1E82">
        <w:rPr>
          <w:b/>
          <w:snapToGrid w:val="0"/>
          <w:sz w:val="28"/>
          <w:lang w:eastAsia="en-US"/>
        </w:rPr>
        <w:t>2</w:t>
      </w:r>
      <w:proofErr w:type="gramEnd"/>
      <w:r w:rsidR="003B412F">
        <w:rPr>
          <w:b/>
          <w:snapToGrid w:val="0"/>
          <w:sz w:val="28"/>
          <w:lang w:eastAsia="en-US"/>
        </w:rPr>
        <w:t>/1</w:t>
      </w:r>
      <w:r w:rsidR="007D1E82">
        <w:rPr>
          <w:b/>
          <w:snapToGrid w:val="0"/>
          <w:sz w:val="28"/>
          <w:lang w:eastAsia="en-US"/>
        </w:rPr>
        <w:t>3</w:t>
      </w:r>
    </w:p>
    <w:p w:rsidR="003B412F" w:rsidRDefault="003B412F" w:rsidP="007E348B">
      <w:pPr>
        <w:rPr>
          <w:b/>
          <w:snapToGrid w:val="0"/>
          <w:sz w:val="28"/>
          <w:lang w:eastAsia="en-US"/>
        </w:rPr>
      </w:pPr>
    </w:p>
    <w:p w:rsidR="00454CB3" w:rsidRDefault="00454CB3" w:rsidP="007E348B">
      <w:pPr>
        <w:rPr>
          <w:b/>
          <w:snapToGrid w:val="0"/>
          <w:sz w:val="28"/>
          <w:lang w:eastAsia="en-US"/>
        </w:rPr>
      </w:pPr>
      <w:r>
        <w:rPr>
          <w:b/>
          <w:snapToGrid w:val="0"/>
          <w:sz w:val="28"/>
          <w:lang w:eastAsia="en-US"/>
        </w:rPr>
        <w:t>Contents</w:t>
      </w:r>
    </w:p>
    <w:p w:rsidR="00454CB3" w:rsidRDefault="00454CB3" w:rsidP="007E348B">
      <w:pPr>
        <w:rPr>
          <w:b/>
          <w:snapToGrid w:val="0"/>
          <w:sz w:val="28"/>
          <w:lang w:eastAsia="en-US"/>
        </w:rPr>
      </w:pPr>
    </w:p>
    <w:p w:rsidR="00454CB3" w:rsidRDefault="00454CB3" w:rsidP="007E348B">
      <w:pPr>
        <w:rPr>
          <w:b/>
          <w:snapToGrid w:val="0"/>
          <w:sz w:val="28"/>
          <w:lang w:eastAsia="en-US"/>
        </w:rPr>
      </w:pPr>
    </w:p>
    <w:tbl>
      <w:tblPr>
        <w:tblW w:w="0" w:type="auto"/>
        <w:tblLook w:val="04A0"/>
      </w:tblPr>
      <w:tblGrid>
        <w:gridCol w:w="1101"/>
        <w:gridCol w:w="6945"/>
        <w:gridCol w:w="1807"/>
      </w:tblGrid>
      <w:tr w:rsidR="00454CB3" w:rsidRPr="00EE6828" w:rsidTr="00AE3653">
        <w:tc>
          <w:tcPr>
            <w:tcW w:w="1101" w:type="dxa"/>
          </w:tcPr>
          <w:p w:rsidR="00454CB3" w:rsidRPr="00EE6828" w:rsidRDefault="00454CB3" w:rsidP="007E348B">
            <w:pPr>
              <w:rPr>
                <w:b/>
                <w:snapToGrid w:val="0"/>
                <w:szCs w:val="24"/>
                <w:lang w:eastAsia="en-US"/>
              </w:rPr>
            </w:pPr>
            <w:r w:rsidRPr="00EE6828">
              <w:rPr>
                <w:b/>
                <w:snapToGrid w:val="0"/>
                <w:szCs w:val="24"/>
                <w:lang w:eastAsia="en-US"/>
              </w:rPr>
              <w:t>Section</w:t>
            </w:r>
          </w:p>
        </w:tc>
        <w:tc>
          <w:tcPr>
            <w:tcW w:w="6945" w:type="dxa"/>
          </w:tcPr>
          <w:p w:rsidR="00454CB3" w:rsidRPr="00EE6828" w:rsidRDefault="00454CB3" w:rsidP="00EE6828">
            <w:pPr>
              <w:jc w:val="center"/>
              <w:rPr>
                <w:b/>
                <w:snapToGrid w:val="0"/>
                <w:szCs w:val="24"/>
                <w:lang w:eastAsia="en-US"/>
              </w:rPr>
            </w:pPr>
            <w:r w:rsidRPr="00EE6828">
              <w:rPr>
                <w:b/>
                <w:snapToGrid w:val="0"/>
                <w:szCs w:val="24"/>
                <w:lang w:eastAsia="en-US"/>
              </w:rPr>
              <w:t>Description</w:t>
            </w:r>
          </w:p>
        </w:tc>
        <w:tc>
          <w:tcPr>
            <w:tcW w:w="1807" w:type="dxa"/>
          </w:tcPr>
          <w:p w:rsidR="00454CB3" w:rsidRPr="00EE6828" w:rsidRDefault="00454CB3" w:rsidP="00EE6828">
            <w:pPr>
              <w:jc w:val="center"/>
              <w:rPr>
                <w:b/>
                <w:snapToGrid w:val="0"/>
                <w:szCs w:val="24"/>
                <w:lang w:eastAsia="en-US"/>
              </w:rPr>
            </w:pPr>
            <w:r w:rsidRPr="00EE6828">
              <w:rPr>
                <w:b/>
                <w:snapToGrid w:val="0"/>
                <w:szCs w:val="24"/>
                <w:lang w:eastAsia="en-US"/>
              </w:rPr>
              <w:t>Page</w:t>
            </w:r>
          </w:p>
        </w:tc>
      </w:tr>
      <w:tr w:rsidR="00454CB3" w:rsidRPr="00EE6828" w:rsidTr="00AE3653">
        <w:tc>
          <w:tcPr>
            <w:tcW w:w="1101" w:type="dxa"/>
          </w:tcPr>
          <w:p w:rsidR="00454CB3" w:rsidRPr="00EE6828" w:rsidRDefault="00454CB3" w:rsidP="007E348B">
            <w:pPr>
              <w:rPr>
                <w:b/>
                <w:snapToGrid w:val="0"/>
                <w:szCs w:val="24"/>
                <w:lang w:eastAsia="en-US"/>
              </w:rPr>
            </w:pPr>
          </w:p>
        </w:tc>
        <w:tc>
          <w:tcPr>
            <w:tcW w:w="6945" w:type="dxa"/>
          </w:tcPr>
          <w:p w:rsidR="00454CB3" w:rsidRPr="00EE6828" w:rsidRDefault="00454CB3" w:rsidP="007E348B">
            <w:pPr>
              <w:rPr>
                <w:b/>
                <w:snapToGrid w:val="0"/>
                <w:szCs w:val="24"/>
                <w:lang w:eastAsia="en-US"/>
              </w:rPr>
            </w:pPr>
          </w:p>
        </w:tc>
        <w:tc>
          <w:tcPr>
            <w:tcW w:w="1807" w:type="dxa"/>
          </w:tcPr>
          <w:p w:rsidR="00454CB3" w:rsidRPr="00EE6828" w:rsidRDefault="00454CB3" w:rsidP="00EE6828">
            <w:pPr>
              <w:jc w:val="center"/>
              <w:rPr>
                <w:b/>
                <w:snapToGrid w:val="0"/>
                <w:szCs w:val="24"/>
                <w:lang w:eastAsia="en-US"/>
              </w:rPr>
            </w:pPr>
          </w:p>
        </w:tc>
      </w:tr>
      <w:tr w:rsidR="00454CB3" w:rsidRPr="00A57A9C" w:rsidTr="00AE3653">
        <w:tc>
          <w:tcPr>
            <w:tcW w:w="1101" w:type="dxa"/>
          </w:tcPr>
          <w:p w:rsidR="00454CB3" w:rsidRPr="00811FEA" w:rsidRDefault="00454CB3" w:rsidP="007E348B">
            <w:pPr>
              <w:rPr>
                <w:b/>
                <w:snapToGrid w:val="0"/>
                <w:szCs w:val="24"/>
                <w:lang w:eastAsia="en-US"/>
              </w:rPr>
            </w:pPr>
            <w:r w:rsidRPr="00811FEA">
              <w:rPr>
                <w:b/>
                <w:snapToGrid w:val="0"/>
                <w:szCs w:val="24"/>
                <w:lang w:eastAsia="en-US"/>
              </w:rPr>
              <w:t>A</w:t>
            </w:r>
          </w:p>
        </w:tc>
        <w:tc>
          <w:tcPr>
            <w:tcW w:w="6945" w:type="dxa"/>
          </w:tcPr>
          <w:p w:rsidR="00454CB3" w:rsidRPr="00811FEA" w:rsidRDefault="00454CB3" w:rsidP="007E348B">
            <w:pPr>
              <w:rPr>
                <w:b/>
                <w:snapToGrid w:val="0"/>
                <w:szCs w:val="24"/>
                <w:lang w:eastAsia="en-US"/>
              </w:rPr>
            </w:pPr>
            <w:r w:rsidRPr="00811FEA">
              <w:rPr>
                <w:b/>
                <w:snapToGrid w:val="0"/>
                <w:szCs w:val="24"/>
                <w:lang w:eastAsia="en-US"/>
              </w:rPr>
              <w:t>Management Structure</w:t>
            </w:r>
          </w:p>
        </w:tc>
        <w:tc>
          <w:tcPr>
            <w:tcW w:w="1807" w:type="dxa"/>
          </w:tcPr>
          <w:p w:rsidR="00454CB3" w:rsidRPr="00905671" w:rsidRDefault="00D40926" w:rsidP="00EE6828">
            <w:pPr>
              <w:jc w:val="center"/>
              <w:rPr>
                <w:b/>
                <w:snapToGrid w:val="0"/>
                <w:szCs w:val="24"/>
                <w:lang w:eastAsia="en-US"/>
              </w:rPr>
            </w:pPr>
            <w:r>
              <w:rPr>
                <w:b/>
                <w:snapToGrid w:val="0"/>
                <w:szCs w:val="24"/>
                <w:lang w:eastAsia="en-US"/>
              </w:rPr>
              <w:t>2</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905671" w:rsidRDefault="00454CB3" w:rsidP="00EE6828">
            <w:pPr>
              <w:jc w:val="center"/>
              <w:rPr>
                <w:b/>
                <w:snapToGrid w:val="0"/>
                <w:szCs w:val="24"/>
                <w:lang w:eastAsia="en-US"/>
              </w:rPr>
            </w:pPr>
          </w:p>
        </w:tc>
      </w:tr>
      <w:tr w:rsidR="00454CB3" w:rsidRPr="00A57A9C" w:rsidTr="00AE3653">
        <w:tc>
          <w:tcPr>
            <w:tcW w:w="1101" w:type="dxa"/>
          </w:tcPr>
          <w:p w:rsidR="00454CB3" w:rsidRPr="00A63817" w:rsidRDefault="00454CB3" w:rsidP="007E348B">
            <w:pPr>
              <w:rPr>
                <w:b/>
                <w:snapToGrid w:val="0"/>
                <w:szCs w:val="24"/>
                <w:lang w:eastAsia="en-US"/>
              </w:rPr>
            </w:pPr>
            <w:r w:rsidRPr="00A63817">
              <w:rPr>
                <w:b/>
                <w:snapToGrid w:val="0"/>
                <w:szCs w:val="24"/>
                <w:lang w:eastAsia="en-US"/>
              </w:rPr>
              <w:t>B</w:t>
            </w:r>
          </w:p>
        </w:tc>
        <w:tc>
          <w:tcPr>
            <w:tcW w:w="6945" w:type="dxa"/>
          </w:tcPr>
          <w:p w:rsidR="00454CB3" w:rsidRPr="00A63817" w:rsidRDefault="00454CB3" w:rsidP="00454CB3">
            <w:pPr>
              <w:rPr>
                <w:b/>
                <w:snapToGrid w:val="0"/>
                <w:szCs w:val="24"/>
                <w:lang w:eastAsia="en-US"/>
              </w:rPr>
            </w:pPr>
            <w:r w:rsidRPr="00A63817">
              <w:rPr>
                <w:b/>
                <w:snapToGrid w:val="0"/>
                <w:szCs w:val="24"/>
                <w:lang w:eastAsia="en-US"/>
              </w:rPr>
              <w:t xml:space="preserve">Overview of Management and Financial Performance </w:t>
            </w:r>
          </w:p>
        </w:tc>
        <w:tc>
          <w:tcPr>
            <w:tcW w:w="1807" w:type="dxa"/>
          </w:tcPr>
          <w:p w:rsidR="00454CB3" w:rsidRPr="00905671" w:rsidRDefault="00D40926" w:rsidP="00EE6828">
            <w:pPr>
              <w:jc w:val="center"/>
              <w:rPr>
                <w:b/>
                <w:snapToGrid w:val="0"/>
                <w:szCs w:val="24"/>
                <w:lang w:eastAsia="en-US"/>
              </w:rPr>
            </w:pPr>
            <w:r>
              <w:rPr>
                <w:b/>
                <w:snapToGrid w:val="0"/>
                <w:szCs w:val="24"/>
                <w:lang w:eastAsia="en-US"/>
              </w:rPr>
              <w:t>3</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63817" w:rsidRDefault="00454CB3" w:rsidP="007E348B">
            <w:pPr>
              <w:rPr>
                <w:b/>
                <w:snapToGrid w:val="0"/>
                <w:szCs w:val="24"/>
                <w:lang w:eastAsia="en-US"/>
              </w:rPr>
            </w:pPr>
          </w:p>
        </w:tc>
        <w:tc>
          <w:tcPr>
            <w:tcW w:w="1807" w:type="dxa"/>
          </w:tcPr>
          <w:p w:rsidR="00454CB3" w:rsidRPr="00E21C30" w:rsidRDefault="00454CB3" w:rsidP="00EE6828">
            <w:pPr>
              <w:jc w:val="center"/>
              <w:rPr>
                <w:b/>
                <w:snapToGrid w:val="0"/>
                <w:szCs w:val="24"/>
                <w:highlight w:val="yellow"/>
                <w:lang w:eastAsia="en-US"/>
              </w:rPr>
            </w:pPr>
          </w:p>
        </w:tc>
      </w:tr>
      <w:tr w:rsidR="00454CB3" w:rsidRPr="00A57A9C" w:rsidTr="00AE3653">
        <w:tc>
          <w:tcPr>
            <w:tcW w:w="1101" w:type="dxa"/>
          </w:tcPr>
          <w:p w:rsidR="00454CB3" w:rsidRPr="00FC2CFF" w:rsidRDefault="00454CB3" w:rsidP="007E348B">
            <w:pPr>
              <w:rPr>
                <w:b/>
                <w:snapToGrid w:val="0"/>
                <w:szCs w:val="24"/>
                <w:lang w:eastAsia="en-US"/>
              </w:rPr>
            </w:pPr>
            <w:r w:rsidRPr="00FC2CFF">
              <w:rPr>
                <w:b/>
                <w:snapToGrid w:val="0"/>
                <w:szCs w:val="24"/>
                <w:lang w:eastAsia="en-US"/>
              </w:rPr>
              <w:t>C</w:t>
            </w:r>
          </w:p>
        </w:tc>
        <w:tc>
          <w:tcPr>
            <w:tcW w:w="6945" w:type="dxa"/>
          </w:tcPr>
          <w:p w:rsidR="00454CB3" w:rsidRPr="00FC2CFF" w:rsidRDefault="00454CB3" w:rsidP="007E348B">
            <w:pPr>
              <w:rPr>
                <w:b/>
                <w:snapToGrid w:val="0"/>
                <w:szCs w:val="24"/>
                <w:lang w:eastAsia="en-US"/>
              </w:rPr>
            </w:pPr>
            <w:r w:rsidRPr="00FC2CFF">
              <w:rPr>
                <w:b/>
                <w:snapToGrid w:val="0"/>
                <w:szCs w:val="24"/>
                <w:lang w:eastAsia="en-US"/>
              </w:rPr>
              <w:t>Governance of the Fund</w:t>
            </w:r>
          </w:p>
        </w:tc>
        <w:tc>
          <w:tcPr>
            <w:tcW w:w="1807" w:type="dxa"/>
          </w:tcPr>
          <w:p w:rsidR="00454CB3" w:rsidRPr="00E21C30" w:rsidRDefault="00670114" w:rsidP="00EE6828">
            <w:pPr>
              <w:jc w:val="center"/>
              <w:rPr>
                <w:b/>
                <w:snapToGrid w:val="0"/>
                <w:szCs w:val="24"/>
                <w:highlight w:val="yellow"/>
                <w:lang w:eastAsia="en-US"/>
              </w:rPr>
            </w:pPr>
            <w:r w:rsidRPr="00670114">
              <w:rPr>
                <w:b/>
                <w:snapToGrid w:val="0"/>
                <w:szCs w:val="24"/>
                <w:lang w:eastAsia="en-US"/>
              </w:rPr>
              <w:t>5</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E21C30" w:rsidRDefault="00454CB3" w:rsidP="00EE6828">
            <w:pPr>
              <w:jc w:val="center"/>
              <w:rPr>
                <w:b/>
                <w:snapToGrid w:val="0"/>
                <w:szCs w:val="24"/>
                <w:highlight w:val="yellow"/>
                <w:lang w:eastAsia="en-US"/>
              </w:rPr>
            </w:pPr>
          </w:p>
        </w:tc>
      </w:tr>
      <w:tr w:rsidR="00454CB3" w:rsidRPr="00A57A9C" w:rsidTr="00AE3653">
        <w:tc>
          <w:tcPr>
            <w:tcW w:w="1101" w:type="dxa"/>
          </w:tcPr>
          <w:p w:rsidR="00454CB3" w:rsidRPr="00FB0AFF" w:rsidRDefault="00454CB3" w:rsidP="007E348B">
            <w:pPr>
              <w:rPr>
                <w:b/>
                <w:snapToGrid w:val="0"/>
                <w:szCs w:val="24"/>
                <w:lang w:eastAsia="en-US"/>
              </w:rPr>
            </w:pPr>
            <w:r w:rsidRPr="00FB0AFF">
              <w:rPr>
                <w:b/>
                <w:snapToGrid w:val="0"/>
                <w:szCs w:val="24"/>
                <w:lang w:eastAsia="en-US"/>
              </w:rPr>
              <w:t>D</w:t>
            </w:r>
          </w:p>
        </w:tc>
        <w:tc>
          <w:tcPr>
            <w:tcW w:w="6945" w:type="dxa"/>
          </w:tcPr>
          <w:p w:rsidR="00454CB3" w:rsidRPr="00FB0AFF" w:rsidRDefault="00454CB3" w:rsidP="007E348B">
            <w:pPr>
              <w:rPr>
                <w:b/>
                <w:snapToGrid w:val="0"/>
                <w:szCs w:val="24"/>
                <w:lang w:eastAsia="en-US"/>
              </w:rPr>
            </w:pPr>
            <w:r w:rsidRPr="00FB0AFF">
              <w:rPr>
                <w:b/>
                <w:snapToGrid w:val="0"/>
                <w:szCs w:val="24"/>
                <w:lang w:eastAsia="en-US"/>
              </w:rPr>
              <w:t>Administration of the Fund</w:t>
            </w:r>
          </w:p>
        </w:tc>
        <w:tc>
          <w:tcPr>
            <w:tcW w:w="1807" w:type="dxa"/>
          </w:tcPr>
          <w:p w:rsidR="00454CB3" w:rsidRPr="008914C2" w:rsidRDefault="00D40926" w:rsidP="00EE6828">
            <w:pPr>
              <w:jc w:val="center"/>
              <w:rPr>
                <w:b/>
                <w:snapToGrid w:val="0"/>
                <w:szCs w:val="24"/>
                <w:lang w:eastAsia="en-US"/>
              </w:rPr>
            </w:pPr>
            <w:r>
              <w:rPr>
                <w:b/>
                <w:snapToGrid w:val="0"/>
                <w:szCs w:val="24"/>
                <w:lang w:eastAsia="en-US"/>
              </w:rPr>
              <w:t>9</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914C2" w:rsidRDefault="00454CB3" w:rsidP="00EE6828">
            <w:pPr>
              <w:jc w:val="center"/>
              <w:rPr>
                <w:b/>
                <w:snapToGrid w:val="0"/>
                <w:szCs w:val="24"/>
                <w:lang w:eastAsia="en-US"/>
              </w:rPr>
            </w:pPr>
          </w:p>
        </w:tc>
      </w:tr>
      <w:tr w:rsidR="00AE3653" w:rsidRPr="00A57A9C" w:rsidTr="00AE3653">
        <w:tc>
          <w:tcPr>
            <w:tcW w:w="1101" w:type="dxa"/>
          </w:tcPr>
          <w:p w:rsidR="00AE3653" w:rsidRPr="00A63817" w:rsidRDefault="00AE3653" w:rsidP="007E348B">
            <w:pPr>
              <w:rPr>
                <w:b/>
                <w:snapToGrid w:val="0"/>
                <w:szCs w:val="24"/>
                <w:lang w:eastAsia="en-US"/>
              </w:rPr>
            </w:pPr>
            <w:r>
              <w:rPr>
                <w:b/>
                <w:snapToGrid w:val="0"/>
                <w:szCs w:val="24"/>
                <w:lang w:eastAsia="en-US"/>
              </w:rPr>
              <w:t>E</w:t>
            </w:r>
          </w:p>
        </w:tc>
        <w:tc>
          <w:tcPr>
            <w:tcW w:w="6945" w:type="dxa"/>
          </w:tcPr>
          <w:p w:rsidR="00AE3653" w:rsidRPr="00A63817" w:rsidRDefault="00AE3653" w:rsidP="007E348B">
            <w:pPr>
              <w:rPr>
                <w:b/>
                <w:snapToGrid w:val="0"/>
                <w:szCs w:val="24"/>
                <w:lang w:eastAsia="en-US"/>
              </w:rPr>
            </w:pPr>
            <w:r>
              <w:rPr>
                <w:b/>
                <w:snapToGrid w:val="0"/>
                <w:szCs w:val="24"/>
                <w:lang w:eastAsia="en-US"/>
              </w:rPr>
              <w:t>Knowledge and Skills Framework</w:t>
            </w:r>
          </w:p>
        </w:tc>
        <w:tc>
          <w:tcPr>
            <w:tcW w:w="1807" w:type="dxa"/>
          </w:tcPr>
          <w:p w:rsidR="00AE3653" w:rsidRPr="00C7674F" w:rsidRDefault="00D40926" w:rsidP="00FC2CFF">
            <w:pPr>
              <w:jc w:val="center"/>
              <w:rPr>
                <w:b/>
                <w:snapToGrid w:val="0"/>
                <w:szCs w:val="24"/>
                <w:lang w:eastAsia="en-US"/>
              </w:rPr>
            </w:pPr>
            <w:r>
              <w:rPr>
                <w:b/>
                <w:snapToGrid w:val="0"/>
                <w:szCs w:val="24"/>
                <w:lang w:eastAsia="en-US"/>
              </w:rPr>
              <w:t>11</w:t>
            </w:r>
          </w:p>
        </w:tc>
      </w:tr>
      <w:tr w:rsidR="00AE3653" w:rsidRPr="00A57A9C" w:rsidTr="00AE3653">
        <w:tc>
          <w:tcPr>
            <w:tcW w:w="1101" w:type="dxa"/>
          </w:tcPr>
          <w:p w:rsidR="00AE3653" w:rsidRPr="00A63817" w:rsidRDefault="00AE3653" w:rsidP="007E348B">
            <w:pPr>
              <w:rPr>
                <w:b/>
                <w:snapToGrid w:val="0"/>
                <w:szCs w:val="24"/>
                <w:lang w:eastAsia="en-US"/>
              </w:rPr>
            </w:pPr>
          </w:p>
        </w:tc>
        <w:tc>
          <w:tcPr>
            <w:tcW w:w="6945" w:type="dxa"/>
          </w:tcPr>
          <w:p w:rsidR="00AE3653" w:rsidRPr="00A63817" w:rsidRDefault="00AE3653" w:rsidP="007E348B">
            <w:pPr>
              <w:rPr>
                <w:b/>
                <w:snapToGrid w:val="0"/>
                <w:szCs w:val="24"/>
                <w:lang w:eastAsia="en-US"/>
              </w:rPr>
            </w:pPr>
          </w:p>
        </w:tc>
        <w:tc>
          <w:tcPr>
            <w:tcW w:w="1807" w:type="dxa"/>
          </w:tcPr>
          <w:p w:rsidR="00AE3653" w:rsidRPr="00C7674F" w:rsidRDefault="00AE3653" w:rsidP="00FC2CFF">
            <w:pPr>
              <w:jc w:val="center"/>
              <w:rPr>
                <w:b/>
                <w:snapToGrid w:val="0"/>
                <w:szCs w:val="24"/>
                <w:lang w:eastAsia="en-US"/>
              </w:rPr>
            </w:pPr>
          </w:p>
        </w:tc>
      </w:tr>
      <w:tr w:rsidR="00454CB3" w:rsidRPr="00A57A9C" w:rsidTr="00AE3653">
        <w:tc>
          <w:tcPr>
            <w:tcW w:w="1101" w:type="dxa"/>
          </w:tcPr>
          <w:p w:rsidR="00454CB3" w:rsidRPr="00A63817" w:rsidRDefault="00AE3653" w:rsidP="007E348B">
            <w:pPr>
              <w:rPr>
                <w:b/>
                <w:snapToGrid w:val="0"/>
                <w:szCs w:val="24"/>
                <w:lang w:eastAsia="en-US"/>
              </w:rPr>
            </w:pPr>
            <w:r>
              <w:rPr>
                <w:b/>
                <w:snapToGrid w:val="0"/>
                <w:szCs w:val="24"/>
                <w:lang w:eastAsia="en-US"/>
              </w:rPr>
              <w:t>F</w:t>
            </w:r>
          </w:p>
        </w:tc>
        <w:tc>
          <w:tcPr>
            <w:tcW w:w="6945" w:type="dxa"/>
          </w:tcPr>
          <w:p w:rsidR="00454CB3" w:rsidRPr="00A63817" w:rsidRDefault="00454CB3" w:rsidP="007E348B">
            <w:pPr>
              <w:rPr>
                <w:b/>
                <w:snapToGrid w:val="0"/>
                <w:szCs w:val="24"/>
                <w:lang w:eastAsia="en-US"/>
              </w:rPr>
            </w:pPr>
            <w:r w:rsidRPr="00A63817">
              <w:rPr>
                <w:b/>
                <w:snapToGrid w:val="0"/>
                <w:szCs w:val="24"/>
                <w:lang w:eastAsia="en-US"/>
              </w:rPr>
              <w:t>Investment Policy and Performance</w:t>
            </w:r>
          </w:p>
        </w:tc>
        <w:tc>
          <w:tcPr>
            <w:tcW w:w="1807" w:type="dxa"/>
          </w:tcPr>
          <w:p w:rsidR="00454CB3" w:rsidRPr="008914C2" w:rsidRDefault="00D40926" w:rsidP="00FC2CFF">
            <w:pPr>
              <w:jc w:val="center"/>
              <w:rPr>
                <w:b/>
                <w:snapToGrid w:val="0"/>
                <w:szCs w:val="24"/>
                <w:lang w:eastAsia="en-US"/>
              </w:rPr>
            </w:pPr>
            <w:r>
              <w:rPr>
                <w:b/>
                <w:snapToGrid w:val="0"/>
                <w:szCs w:val="24"/>
                <w:lang w:eastAsia="en-US"/>
              </w:rPr>
              <w:t>13</w:t>
            </w:r>
          </w:p>
        </w:tc>
      </w:tr>
      <w:tr w:rsidR="00454CB3" w:rsidRPr="00A57A9C" w:rsidTr="00AE3653">
        <w:tc>
          <w:tcPr>
            <w:tcW w:w="1101" w:type="dxa"/>
          </w:tcPr>
          <w:p w:rsidR="00454CB3" w:rsidRPr="00A57A9C" w:rsidRDefault="00454CB3" w:rsidP="007E348B">
            <w:pPr>
              <w:rPr>
                <w:b/>
                <w:snapToGrid w:val="0"/>
                <w:szCs w:val="24"/>
                <w:highlight w:val="yellow"/>
                <w:lang w:eastAsia="en-US"/>
              </w:rPr>
            </w:pPr>
          </w:p>
        </w:tc>
        <w:tc>
          <w:tcPr>
            <w:tcW w:w="6945" w:type="dxa"/>
          </w:tcPr>
          <w:p w:rsidR="00454CB3" w:rsidRPr="00A57A9C" w:rsidRDefault="00454CB3" w:rsidP="007E348B">
            <w:pPr>
              <w:rPr>
                <w:b/>
                <w:snapToGrid w:val="0"/>
                <w:szCs w:val="24"/>
                <w:highlight w:val="yellow"/>
                <w:lang w:eastAsia="en-US"/>
              </w:rPr>
            </w:pPr>
          </w:p>
        </w:tc>
        <w:tc>
          <w:tcPr>
            <w:tcW w:w="1807" w:type="dxa"/>
          </w:tcPr>
          <w:p w:rsidR="00454CB3" w:rsidRPr="008914C2" w:rsidRDefault="00454CB3" w:rsidP="00EE6828">
            <w:pPr>
              <w:jc w:val="center"/>
              <w:rPr>
                <w:b/>
                <w:snapToGrid w:val="0"/>
                <w:szCs w:val="24"/>
                <w:lang w:eastAsia="en-US"/>
              </w:rPr>
            </w:pPr>
          </w:p>
        </w:tc>
      </w:tr>
      <w:tr w:rsidR="00893C2A" w:rsidRPr="00A57A9C" w:rsidTr="00AE3653">
        <w:tc>
          <w:tcPr>
            <w:tcW w:w="1101" w:type="dxa"/>
          </w:tcPr>
          <w:p w:rsidR="00893C2A" w:rsidRPr="00FC2CFF" w:rsidRDefault="00AE3653" w:rsidP="007E348B">
            <w:pPr>
              <w:rPr>
                <w:b/>
                <w:snapToGrid w:val="0"/>
                <w:szCs w:val="24"/>
                <w:lang w:eastAsia="en-US"/>
              </w:rPr>
            </w:pPr>
            <w:r>
              <w:rPr>
                <w:b/>
                <w:snapToGrid w:val="0"/>
                <w:szCs w:val="24"/>
                <w:lang w:eastAsia="en-US"/>
              </w:rPr>
              <w:t>G</w:t>
            </w:r>
          </w:p>
        </w:tc>
        <w:tc>
          <w:tcPr>
            <w:tcW w:w="6945" w:type="dxa"/>
          </w:tcPr>
          <w:p w:rsidR="00893C2A" w:rsidRPr="00FC2CFF" w:rsidRDefault="00893C2A" w:rsidP="007E348B">
            <w:pPr>
              <w:rPr>
                <w:b/>
                <w:snapToGrid w:val="0"/>
                <w:szCs w:val="24"/>
                <w:lang w:eastAsia="en-US"/>
              </w:rPr>
            </w:pPr>
            <w:r w:rsidRPr="00FC2CFF">
              <w:rPr>
                <w:b/>
                <w:snapToGrid w:val="0"/>
                <w:szCs w:val="24"/>
                <w:lang w:eastAsia="en-US"/>
              </w:rPr>
              <w:t>Accounts of the Fund</w:t>
            </w:r>
          </w:p>
        </w:tc>
        <w:tc>
          <w:tcPr>
            <w:tcW w:w="1807" w:type="dxa"/>
          </w:tcPr>
          <w:p w:rsidR="00893C2A" w:rsidRPr="008914C2" w:rsidRDefault="00D40926" w:rsidP="006445E2">
            <w:pPr>
              <w:jc w:val="center"/>
              <w:rPr>
                <w:b/>
                <w:snapToGrid w:val="0"/>
                <w:szCs w:val="24"/>
                <w:lang w:eastAsia="en-US"/>
              </w:rPr>
            </w:pPr>
            <w:r>
              <w:rPr>
                <w:b/>
                <w:snapToGrid w:val="0"/>
                <w:szCs w:val="24"/>
                <w:lang w:eastAsia="en-US"/>
              </w:rPr>
              <w:t>24</w:t>
            </w:r>
          </w:p>
        </w:tc>
      </w:tr>
      <w:tr w:rsidR="00893C2A" w:rsidRPr="00A57A9C" w:rsidTr="00AE3653">
        <w:tc>
          <w:tcPr>
            <w:tcW w:w="1101" w:type="dxa"/>
          </w:tcPr>
          <w:p w:rsidR="00893C2A" w:rsidRPr="00FC2CFF" w:rsidRDefault="00893C2A" w:rsidP="007E348B">
            <w:pPr>
              <w:rPr>
                <w:b/>
                <w:snapToGrid w:val="0"/>
                <w:szCs w:val="24"/>
                <w:lang w:eastAsia="en-US"/>
              </w:rPr>
            </w:pPr>
          </w:p>
        </w:tc>
        <w:tc>
          <w:tcPr>
            <w:tcW w:w="6945" w:type="dxa"/>
          </w:tcPr>
          <w:p w:rsidR="00893C2A" w:rsidRPr="00FC2CFF" w:rsidRDefault="00893C2A" w:rsidP="007E348B">
            <w:pPr>
              <w:rPr>
                <w:b/>
                <w:snapToGrid w:val="0"/>
                <w:szCs w:val="24"/>
                <w:lang w:eastAsia="en-US"/>
              </w:rPr>
            </w:pPr>
          </w:p>
        </w:tc>
        <w:tc>
          <w:tcPr>
            <w:tcW w:w="1807" w:type="dxa"/>
          </w:tcPr>
          <w:p w:rsidR="00893C2A" w:rsidRPr="008914C2" w:rsidRDefault="00893C2A" w:rsidP="006445E2">
            <w:pPr>
              <w:jc w:val="center"/>
              <w:rPr>
                <w:b/>
                <w:snapToGrid w:val="0"/>
                <w:szCs w:val="24"/>
                <w:lang w:eastAsia="en-US"/>
              </w:rPr>
            </w:pPr>
          </w:p>
        </w:tc>
      </w:tr>
      <w:tr w:rsidR="00893C2A" w:rsidRPr="00A57A9C" w:rsidTr="00AE3653">
        <w:tc>
          <w:tcPr>
            <w:tcW w:w="1101" w:type="dxa"/>
          </w:tcPr>
          <w:p w:rsidR="00893C2A" w:rsidRPr="00FC2CFF" w:rsidRDefault="00AE3653" w:rsidP="007E348B">
            <w:pPr>
              <w:rPr>
                <w:b/>
                <w:snapToGrid w:val="0"/>
                <w:szCs w:val="24"/>
                <w:lang w:eastAsia="en-US"/>
              </w:rPr>
            </w:pPr>
            <w:r>
              <w:rPr>
                <w:b/>
                <w:snapToGrid w:val="0"/>
                <w:szCs w:val="24"/>
                <w:lang w:eastAsia="en-US"/>
              </w:rPr>
              <w:t>H</w:t>
            </w:r>
          </w:p>
        </w:tc>
        <w:tc>
          <w:tcPr>
            <w:tcW w:w="6945" w:type="dxa"/>
          </w:tcPr>
          <w:p w:rsidR="00893C2A" w:rsidRPr="00FC2CFF" w:rsidRDefault="00893C2A" w:rsidP="007E348B">
            <w:pPr>
              <w:rPr>
                <w:b/>
                <w:snapToGrid w:val="0"/>
                <w:szCs w:val="24"/>
                <w:lang w:eastAsia="en-US"/>
              </w:rPr>
            </w:pPr>
            <w:r w:rsidRPr="00A63817">
              <w:rPr>
                <w:b/>
                <w:snapToGrid w:val="0"/>
                <w:szCs w:val="24"/>
                <w:lang w:eastAsia="en-US"/>
              </w:rPr>
              <w:t>Actuarial Valuation</w:t>
            </w:r>
          </w:p>
        </w:tc>
        <w:tc>
          <w:tcPr>
            <w:tcW w:w="1807" w:type="dxa"/>
          </w:tcPr>
          <w:p w:rsidR="00893C2A" w:rsidRPr="008914C2" w:rsidRDefault="00D40926" w:rsidP="006445E2">
            <w:pPr>
              <w:jc w:val="center"/>
              <w:rPr>
                <w:b/>
                <w:snapToGrid w:val="0"/>
                <w:szCs w:val="24"/>
                <w:lang w:eastAsia="en-US"/>
              </w:rPr>
            </w:pPr>
            <w:r>
              <w:rPr>
                <w:b/>
                <w:snapToGrid w:val="0"/>
                <w:szCs w:val="24"/>
                <w:lang w:eastAsia="en-US"/>
              </w:rPr>
              <w:t>62</w:t>
            </w:r>
          </w:p>
        </w:tc>
      </w:tr>
      <w:tr w:rsidR="00893C2A" w:rsidRPr="00A57A9C" w:rsidTr="00AE3653">
        <w:tc>
          <w:tcPr>
            <w:tcW w:w="1101" w:type="dxa"/>
          </w:tcPr>
          <w:p w:rsidR="00893C2A" w:rsidRPr="00FC2CFF" w:rsidRDefault="00893C2A" w:rsidP="007E348B">
            <w:pPr>
              <w:rPr>
                <w:b/>
                <w:snapToGrid w:val="0"/>
                <w:szCs w:val="24"/>
                <w:lang w:eastAsia="en-US"/>
              </w:rPr>
            </w:pPr>
          </w:p>
        </w:tc>
        <w:tc>
          <w:tcPr>
            <w:tcW w:w="6945" w:type="dxa"/>
          </w:tcPr>
          <w:p w:rsidR="00893C2A" w:rsidRPr="00FC2CFF" w:rsidRDefault="00893C2A" w:rsidP="007E348B">
            <w:pPr>
              <w:rPr>
                <w:b/>
                <w:snapToGrid w:val="0"/>
                <w:szCs w:val="24"/>
                <w:lang w:eastAsia="en-US"/>
              </w:rPr>
            </w:pPr>
          </w:p>
        </w:tc>
        <w:tc>
          <w:tcPr>
            <w:tcW w:w="1807" w:type="dxa"/>
          </w:tcPr>
          <w:p w:rsidR="00893C2A" w:rsidRPr="008914C2" w:rsidRDefault="00893C2A" w:rsidP="006445E2">
            <w:pPr>
              <w:jc w:val="center"/>
              <w:rPr>
                <w:b/>
                <w:snapToGrid w:val="0"/>
                <w:szCs w:val="24"/>
                <w:lang w:eastAsia="en-US"/>
              </w:rPr>
            </w:pPr>
          </w:p>
        </w:tc>
      </w:tr>
      <w:tr w:rsidR="00AE3653" w:rsidRPr="00A57A9C" w:rsidTr="00AE3653">
        <w:tc>
          <w:tcPr>
            <w:tcW w:w="1101" w:type="dxa"/>
          </w:tcPr>
          <w:p w:rsidR="00AE3653" w:rsidRPr="00FC2CFF" w:rsidRDefault="00AE3653" w:rsidP="007E348B">
            <w:pPr>
              <w:rPr>
                <w:b/>
                <w:snapToGrid w:val="0"/>
                <w:szCs w:val="24"/>
                <w:lang w:eastAsia="en-US"/>
              </w:rPr>
            </w:pPr>
            <w:r>
              <w:rPr>
                <w:b/>
                <w:snapToGrid w:val="0"/>
                <w:szCs w:val="24"/>
                <w:lang w:eastAsia="en-US"/>
              </w:rPr>
              <w:t>I</w:t>
            </w:r>
          </w:p>
        </w:tc>
        <w:tc>
          <w:tcPr>
            <w:tcW w:w="6945" w:type="dxa"/>
          </w:tcPr>
          <w:p w:rsidR="00AE3653" w:rsidRPr="00FC2CFF" w:rsidRDefault="00AE3653" w:rsidP="007E348B">
            <w:pPr>
              <w:rPr>
                <w:b/>
                <w:snapToGrid w:val="0"/>
                <w:szCs w:val="24"/>
                <w:lang w:eastAsia="en-US"/>
              </w:rPr>
            </w:pPr>
            <w:r>
              <w:rPr>
                <w:b/>
                <w:snapToGrid w:val="0"/>
                <w:szCs w:val="24"/>
                <w:lang w:eastAsia="en-US"/>
              </w:rPr>
              <w:t>Contacts</w:t>
            </w:r>
          </w:p>
        </w:tc>
        <w:tc>
          <w:tcPr>
            <w:tcW w:w="1807" w:type="dxa"/>
          </w:tcPr>
          <w:p w:rsidR="00AE3653" w:rsidRPr="008914C2" w:rsidRDefault="00D40926" w:rsidP="006445E2">
            <w:pPr>
              <w:jc w:val="center"/>
              <w:rPr>
                <w:b/>
                <w:snapToGrid w:val="0"/>
                <w:szCs w:val="24"/>
                <w:lang w:eastAsia="en-US"/>
              </w:rPr>
            </w:pPr>
            <w:r>
              <w:rPr>
                <w:b/>
                <w:snapToGrid w:val="0"/>
                <w:szCs w:val="24"/>
                <w:lang w:eastAsia="en-US"/>
              </w:rPr>
              <w:t>70</w:t>
            </w:r>
          </w:p>
        </w:tc>
      </w:tr>
      <w:tr w:rsidR="00AE3653" w:rsidRPr="00A57A9C" w:rsidTr="00AE3653">
        <w:tc>
          <w:tcPr>
            <w:tcW w:w="1101" w:type="dxa"/>
          </w:tcPr>
          <w:p w:rsidR="00AE3653" w:rsidRDefault="00AE3653" w:rsidP="007E348B">
            <w:pPr>
              <w:rPr>
                <w:b/>
                <w:snapToGrid w:val="0"/>
                <w:szCs w:val="24"/>
                <w:lang w:eastAsia="en-US"/>
              </w:rPr>
            </w:pPr>
          </w:p>
        </w:tc>
        <w:tc>
          <w:tcPr>
            <w:tcW w:w="6945" w:type="dxa"/>
          </w:tcPr>
          <w:p w:rsidR="00AE3653" w:rsidRDefault="00AE3653" w:rsidP="007E348B">
            <w:pPr>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r w:rsidR="00AE3653" w:rsidRPr="00A57A9C" w:rsidTr="00AE3653">
        <w:trPr>
          <w:trHeight w:val="591"/>
        </w:trPr>
        <w:tc>
          <w:tcPr>
            <w:tcW w:w="1101" w:type="dxa"/>
          </w:tcPr>
          <w:p w:rsidR="00AE3653" w:rsidRPr="00FC2CFF" w:rsidRDefault="00AE3653" w:rsidP="007E348B">
            <w:pPr>
              <w:rPr>
                <w:b/>
                <w:snapToGrid w:val="0"/>
                <w:szCs w:val="24"/>
                <w:lang w:eastAsia="en-US"/>
              </w:rPr>
            </w:pPr>
          </w:p>
        </w:tc>
        <w:tc>
          <w:tcPr>
            <w:tcW w:w="6945" w:type="dxa"/>
          </w:tcPr>
          <w:p w:rsidR="00897DBF" w:rsidRDefault="00897DBF">
            <w:pPr>
              <w:ind w:left="720"/>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r w:rsidR="00AE3653" w:rsidRPr="00A57A9C" w:rsidTr="00AE3653">
        <w:tc>
          <w:tcPr>
            <w:tcW w:w="1101" w:type="dxa"/>
          </w:tcPr>
          <w:p w:rsidR="00AE3653" w:rsidRPr="00FC2CFF" w:rsidRDefault="00AE3653" w:rsidP="007E348B">
            <w:pPr>
              <w:rPr>
                <w:b/>
                <w:snapToGrid w:val="0"/>
                <w:szCs w:val="24"/>
                <w:lang w:eastAsia="en-US"/>
              </w:rPr>
            </w:pPr>
          </w:p>
        </w:tc>
        <w:tc>
          <w:tcPr>
            <w:tcW w:w="6945" w:type="dxa"/>
          </w:tcPr>
          <w:p w:rsidR="00897DBF" w:rsidRDefault="00897DBF">
            <w:pPr>
              <w:ind w:left="720"/>
              <w:rPr>
                <w:b/>
                <w:snapToGrid w:val="0"/>
                <w:szCs w:val="24"/>
                <w:lang w:eastAsia="en-US"/>
              </w:rPr>
            </w:pPr>
          </w:p>
        </w:tc>
        <w:tc>
          <w:tcPr>
            <w:tcW w:w="1807" w:type="dxa"/>
          </w:tcPr>
          <w:p w:rsidR="00AE3653" w:rsidRPr="008914C2" w:rsidRDefault="00AE3653" w:rsidP="006445E2">
            <w:pPr>
              <w:jc w:val="center"/>
              <w:rPr>
                <w:b/>
                <w:snapToGrid w:val="0"/>
                <w:szCs w:val="24"/>
                <w:lang w:eastAsia="en-US"/>
              </w:rPr>
            </w:pPr>
          </w:p>
        </w:tc>
      </w:tr>
    </w:tbl>
    <w:p w:rsidR="007E348B" w:rsidRDefault="007E348B" w:rsidP="007E348B">
      <w:pPr>
        <w:rPr>
          <w:b/>
          <w:snapToGrid w:val="0"/>
          <w:sz w:val="28"/>
          <w:lang w:eastAsia="en-US"/>
        </w:rPr>
      </w:pPr>
    </w:p>
    <w:tbl>
      <w:tblPr>
        <w:tblW w:w="10632" w:type="dxa"/>
        <w:tblInd w:w="-176" w:type="dxa"/>
        <w:tblBorders>
          <w:top w:val="single" w:sz="4" w:space="0" w:color="C0C0C0"/>
          <w:left w:val="single" w:sz="4" w:space="0" w:color="C0C0C0"/>
          <w:bottom w:val="single" w:sz="4" w:space="0" w:color="C0C0C0"/>
          <w:right w:val="single" w:sz="4" w:space="0" w:color="C0C0C0"/>
          <w:insideV w:val="single" w:sz="4" w:space="0" w:color="C0C0C0"/>
        </w:tblBorders>
        <w:tblLayout w:type="fixed"/>
        <w:tblLook w:val="0000"/>
      </w:tblPr>
      <w:tblGrid>
        <w:gridCol w:w="10632"/>
      </w:tblGrid>
      <w:tr w:rsidR="00CF2F84" w:rsidTr="004E3B4B">
        <w:trPr>
          <w:trHeight w:val="13275"/>
        </w:trPr>
        <w:tc>
          <w:tcPr>
            <w:tcW w:w="10632" w:type="dxa"/>
            <w:tcBorders>
              <w:top w:val="nil"/>
              <w:left w:val="nil"/>
              <w:bottom w:val="nil"/>
              <w:right w:val="nil"/>
            </w:tcBorders>
          </w:tcPr>
          <w:p w:rsidR="00897DBF" w:rsidRDefault="00897DBF">
            <w:pPr>
              <w:ind w:left="360"/>
              <w:rPr>
                <w:b/>
                <w:snapToGrid w:val="0"/>
                <w:sz w:val="28"/>
                <w:lang w:eastAsia="en-US"/>
              </w:rPr>
            </w:pPr>
          </w:p>
          <w:p w:rsidR="00E43392" w:rsidRDefault="00D545F4">
            <w:pPr>
              <w:numPr>
                <w:ilvl w:val="0"/>
                <w:numId w:val="10"/>
              </w:numPr>
              <w:rPr>
                <w:b/>
                <w:snapToGrid w:val="0"/>
                <w:sz w:val="28"/>
                <w:lang w:eastAsia="en-US"/>
              </w:rPr>
            </w:pPr>
            <w:r>
              <w:rPr>
                <w:b/>
                <w:snapToGrid w:val="0"/>
                <w:sz w:val="28"/>
                <w:lang w:eastAsia="en-US"/>
              </w:rPr>
              <w:t>Management Structure</w:t>
            </w:r>
          </w:p>
          <w:p w:rsidR="00CF2F84" w:rsidRPr="00E21C30" w:rsidRDefault="00CF2F84">
            <w:pPr>
              <w:ind w:left="284" w:hanging="284"/>
              <w:rPr>
                <w:b/>
                <w:szCs w:val="24"/>
                <w:highlight w:val="yellow"/>
              </w:rPr>
            </w:pPr>
          </w:p>
          <w:tbl>
            <w:tblPr>
              <w:tblW w:w="10379" w:type="dxa"/>
              <w:tblInd w:w="284" w:type="dxa"/>
              <w:tblLayout w:type="fixed"/>
              <w:tblLook w:val="04A0"/>
            </w:tblPr>
            <w:tblGrid>
              <w:gridCol w:w="3615"/>
              <w:gridCol w:w="3304"/>
              <w:gridCol w:w="3460"/>
            </w:tblGrid>
            <w:tr w:rsidR="00A402A4" w:rsidRPr="00E21C30" w:rsidTr="004E3B4B">
              <w:trPr>
                <w:trHeight w:val="861"/>
              </w:trPr>
              <w:tc>
                <w:tcPr>
                  <w:tcW w:w="3615" w:type="dxa"/>
                </w:tcPr>
                <w:p w:rsidR="00811FEA" w:rsidRPr="000624DD" w:rsidRDefault="00D545F4" w:rsidP="00A402A4">
                  <w:pPr>
                    <w:ind w:left="284" w:hanging="284"/>
                    <w:rPr>
                      <w:b/>
                      <w:szCs w:val="24"/>
                    </w:rPr>
                  </w:pPr>
                  <w:r>
                    <w:rPr>
                      <w:b/>
                      <w:szCs w:val="24"/>
                    </w:rPr>
                    <w:t>Management Structure as at</w:t>
                  </w:r>
                </w:p>
                <w:p w:rsidR="00A402A4" w:rsidRPr="000624DD" w:rsidRDefault="00D545F4" w:rsidP="00A402A4">
                  <w:pPr>
                    <w:ind w:left="284" w:hanging="284"/>
                    <w:rPr>
                      <w:b/>
                      <w:szCs w:val="24"/>
                    </w:rPr>
                  </w:pPr>
                  <w:r>
                    <w:rPr>
                      <w:b/>
                      <w:szCs w:val="24"/>
                    </w:rPr>
                    <w:t>31 March 2013</w:t>
                  </w:r>
                </w:p>
                <w:p w:rsidR="00A402A4" w:rsidRPr="00E21C30" w:rsidRDefault="00A402A4" w:rsidP="00AC3D87">
                  <w:pPr>
                    <w:rPr>
                      <w:b/>
                      <w:highlight w:val="yellow"/>
                    </w:rPr>
                  </w:pPr>
                </w:p>
              </w:tc>
              <w:tc>
                <w:tcPr>
                  <w:tcW w:w="3304" w:type="dxa"/>
                </w:tcPr>
                <w:p w:rsidR="00A402A4" w:rsidRPr="000624DD" w:rsidRDefault="00D545F4" w:rsidP="00A402A4">
                  <w:pPr>
                    <w:rPr>
                      <w:b/>
                    </w:rPr>
                  </w:pPr>
                  <w:r>
                    <w:rPr>
                      <w:b/>
                    </w:rPr>
                    <w:t>Administering Authority</w:t>
                  </w:r>
                </w:p>
                <w:p w:rsidR="00A402A4" w:rsidRPr="000624DD" w:rsidRDefault="00D545F4" w:rsidP="00A402A4">
                  <w:r>
                    <w:t>Lancashire County Council</w:t>
                  </w:r>
                </w:p>
                <w:p w:rsidR="00A402A4" w:rsidRPr="00E21C30" w:rsidRDefault="00A402A4" w:rsidP="00AC3D87">
                  <w:pPr>
                    <w:rPr>
                      <w:b/>
                      <w:highlight w:val="yellow"/>
                    </w:rPr>
                  </w:pPr>
                </w:p>
              </w:tc>
              <w:tc>
                <w:tcPr>
                  <w:tcW w:w="3460" w:type="dxa"/>
                </w:tcPr>
                <w:p w:rsidR="00A402A4" w:rsidRPr="00E21C30" w:rsidRDefault="00A402A4" w:rsidP="00AC3D87">
                  <w:pPr>
                    <w:rPr>
                      <w:b/>
                      <w:highlight w:val="yellow"/>
                    </w:rPr>
                  </w:pPr>
                </w:p>
              </w:tc>
            </w:tr>
            <w:tr w:rsidR="00A402A4" w:rsidRPr="00E21C30" w:rsidTr="004E3B4B">
              <w:trPr>
                <w:trHeight w:val="298"/>
              </w:trPr>
              <w:tc>
                <w:tcPr>
                  <w:tcW w:w="3615" w:type="dxa"/>
                </w:tcPr>
                <w:p w:rsidR="00A402A4" w:rsidRPr="00E21C30" w:rsidRDefault="00A402A4" w:rsidP="00AC3D87">
                  <w:pPr>
                    <w:rPr>
                      <w:b/>
                      <w:highlight w:val="yellow"/>
                    </w:rPr>
                  </w:pPr>
                </w:p>
              </w:tc>
              <w:tc>
                <w:tcPr>
                  <w:tcW w:w="3304" w:type="dxa"/>
                </w:tcPr>
                <w:p w:rsidR="00A402A4" w:rsidRPr="00E21C30" w:rsidRDefault="00A402A4" w:rsidP="00AC3D87">
                  <w:pPr>
                    <w:rPr>
                      <w:b/>
                      <w:highlight w:val="yellow"/>
                    </w:rPr>
                  </w:pPr>
                </w:p>
              </w:tc>
              <w:tc>
                <w:tcPr>
                  <w:tcW w:w="3460" w:type="dxa"/>
                </w:tcPr>
                <w:p w:rsidR="00A402A4" w:rsidRPr="00E21C30" w:rsidRDefault="00A402A4" w:rsidP="00AC3D87">
                  <w:pPr>
                    <w:rPr>
                      <w:b/>
                      <w:highlight w:val="yellow"/>
                    </w:rPr>
                  </w:pPr>
                </w:p>
              </w:tc>
            </w:tr>
            <w:tr w:rsidR="00A402A4" w:rsidTr="004E3B4B">
              <w:trPr>
                <w:trHeight w:val="11225"/>
              </w:trPr>
              <w:tc>
                <w:tcPr>
                  <w:tcW w:w="3615" w:type="dxa"/>
                  <w:tcBorders>
                    <w:bottom w:val="nil"/>
                  </w:tcBorders>
                </w:tcPr>
                <w:p w:rsidR="00A402A4" w:rsidRPr="008B77E0" w:rsidRDefault="00D545F4" w:rsidP="00A402A4">
                  <w:pPr>
                    <w:rPr>
                      <w:b/>
                    </w:rPr>
                  </w:pPr>
                  <w:r>
                    <w:rPr>
                      <w:b/>
                    </w:rPr>
                    <w:t>Pension Fund Committee</w:t>
                  </w:r>
                  <w:r w:rsidR="00DB7E82">
                    <w:rPr>
                      <w:b/>
                    </w:rPr>
                    <w:t xml:space="preserve"> *</w:t>
                  </w:r>
                </w:p>
                <w:p w:rsidR="00A402A4" w:rsidRPr="008B77E0" w:rsidRDefault="00D545F4" w:rsidP="00A402A4">
                  <w:r>
                    <w:t>2012/2013 (as at March 2013)</w:t>
                  </w:r>
                </w:p>
                <w:p w:rsidR="00A402A4" w:rsidRPr="00E21C30" w:rsidRDefault="00A402A4" w:rsidP="00A402A4">
                  <w:pPr>
                    <w:rPr>
                      <w:highlight w:val="yellow"/>
                    </w:rPr>
                  </w:pPr>
                </w:p>
                <w:p w:rsidR="00A402A4" w:rsidRPr="008B77E0" w:rsidRDefault="00D545F4" w:rsidP="00A402A4">
                  <w:pPr>
                    <w:rPr>
                      <w:b/>
                    </w:rPr>
                  </w:pPr>
                  <w:r>
                    <w:rPr>
                      <w:b/>
                    </w:rPr>
                    <w:t>Lancashire County Council</w:t>
                  </w:r>
                </w:p>
                <w:p w:rsidR="00A402A4" w:rsidRPr="008B77E0" w:rsidRDefault="00D545F4" w:rsidP="00A402A4">
                  <w:r>
                    <w:t>D A Westley (Chair)</w:t>
                  </w:r>
                </w:p>
                <w:p w:rsidR="00A402A4" w:rsidRPr="008B77E0" w:rsidRDefault="00D545F4" w:rsidP="00A402A4">
                  <w:r>
                    <w:t>M J Welsh (Deputy Chair)</w:t>
                  </w:r>
                </w:p>
                <w:p w:rsidR="00A402A4" w:rsidRPr="008B77E0" w:rsidRDefault="00D545F4" w:rsidP="00A402A4">
                  <w:r>
                    <w:t>T Aldridge</w:t>
                  </w:r>
                </w:p>
                <w:p w:rsidR="00A402A4" w:rsidRPr="008B77E0" w:rsidRDefault="00D545F4" w:rsidP="00A402A4">
                  <w:r>
                    <w:t>M Brindle</w:t>
                  </w:r>
                </w:p>
                <w:p w:rsidR="0083436C" w:rsidRPr="008B77E0" w:rsidRDefault="00D545F4" w:rsidP="00A402A4">
                  <w:r>
                    <w:t>M Devaney</w:t>
                  </w:r>
                </w:p>
                <w:p w:rsidR="00A402A4" w:rsidRPr="008B77E0" w:rsidRDefault="00D545F4" w:rsidP="00A402A4">
                  <w:r>
                    <w:t>P Evans</w:t>
                  </w:r>
                </w:p>
                <w:p w:rsidR="00A402A4" w:rsidRPr="008B77E0" w:rsidRDefault="00670114" w:rsidP="00A402A4">
                  <w:r w:rsidRPr="00670114">
                    <w:t>K Iddon</w:t>
                  </w:r>
                </w:p>
                <w:p w:rsidR="00A402A4" w:rsidRPr="008B77E0" w:rsidRDefault="00D545F4" w:rsidP="00A402A4">
                  <w:r>
                    <w:t>J Lawrenson</w:t>
                  </w:r>
                </w:p>
                <w:p w:rsidR="00A402A4" w:rsidRPr="008B77E0" w:rsidRDefault="00D545F4" w:rsidP="00A402A4">
                  <w:r>
                    <w:t>F De Molfetta</w:t>
                  </w:r>
                </w:p>
                <w:p w:rsidR="00A402A4" w:rsidRPr="008B77E0" w:rsidRDefault="00D545F4" w:rsidP="00A402A4">
                  <w:r>
                    <w:t>M Parkinson</w:t>
                  </w:r>
                </w:p>
                <w:p w:rsidR="00A402A4" w:rsidRPr="008B77E0" w:rsidRDefault="00D545F4" w:rsidP="00A402A4">
                  <w:r>
                    <w:t>T Pimblett</w:t>
                  </w:r>
                </w:p>
                <w:p w:rsidR="00A402A4" w:rsidRPr="008B77E0" w:rsidRDefault="00D545F4" w:rsidP="00A402A4">
                  <w:r>
                    <w:t>S Riches</w:t>
                  </w:r>
                </w:p>
                <w:p w:rsidR="00A402A4" w:rsidRPr="008B77E0" w:rsidRDefault="00D545F4" w:rsidP="00A402A4">
                  <w:r>
                    <w:t>G Roper</w:t>
                  </w:r>
                </w:p>
                <w:p w:rsidR="00A402A4" w:rsidRPr="00E21C30" w:rsidRDefault="00D545F4" w:rsidP="00A402A4">
                  <w:pPr>
                    <w:rPr>
                      <w:highlight w:val="yellow"/>
                    </w:rPr>
                  </w:pPr>
                  <w:r>
                    <w:t>K Young</w:t>
                  </w:r>
                </w:p>
                <w:p w:rsidR="00A402A4" w:rsidRPr="00E21C30" w:rsidRDefault="00A402A4" w:rsidP="00A402A4">
                  <w:pPr>
                    <w:rPr>
                      <w:highlight w:val="yellow"/>
                    </w:rPr>
                  </w:pPr>
                </w:p>
                <w:p w:rsidR="00A402A4" w:rsidRPr="008B77E0" w:rsidRDefault="00D545F4" w:rsidP="00A402A4">
                  <w:pPr>
                    <w:rPr>
                      <w:b/>
                    </w:rPr>
                  </w:pPr>
                  <w:r>
                    <w:rPr>
                      <w:b/>
                    </w:rPr>
                    <w:t xml:space="preserve">Blackburn with Darwen </w:t>
                  </w:r>
                </w:p>
                <w:p w:rsidR="00A402A4" w:rsidRPr="008B77E0" w:rsidRDefault="00D545F4" w:rsidP="00A402A4">
                  <w:pPr>
                    <w:rPr>
                      <w:b/>
                    </w:rPr>
                  </w:pPr>
                  <w:r>
                    <w:rPr>
                      <w:b/>
                    </w:rPr>
                    <w:t>Borough Council</w:t>
                  </w:r>
                </w:p>
                <w:p w:rsidR="00A402A4" w:rsidRPr="00E21C30" w:rsidRDefault="00D545F4" w:rsidP="00A402A4">
                  <w:pPr>
                    <w:rPr>
                      <w:highlight w:val="yellow"/>
                    </w:rPr>
                  </w:pPr>
                  <w:r>
                    <w:t>D Walsh</w:t>
                  </w:r>
                </w:p>
                <w:p w:rsidR="0083436C" w:rsidRPr="00E21C30" w:rsidRDefault="0083436C" w:rsidP="00A402A4">
                  <w:pPr>
                    <w:rPr>
                      <w:highlight w:val="yellow"/>
                    </w:rPr>
                  </w:pPr>
                </w:p>
                <w:p w:rsidR="00A402A4" w:rsidRPr="008B77E0" w:rsidRDefault="00D545F4" w:rsidP="00A402A4">
                  <w:pPr>
                    <w:rPr>
                      <w:b/>
                    </w:rPr>
                  </w:pPr>
                  <w:r>
                    <w:rPr>
                      <w:b/>
                    </w:rPr>
                    <w:t>Blackpool Borough Council</w:t>
                  </w:r>
                </w:p>
                <w:p w:rsidR="00A402A4" w:rsidRPr="008B77E0" w:rsidRDefault="00D545F4" w:rsidP="00A402A4">
                  <w:r>
                    <w:t>M Smith</w:t>
                  </w:r>
                </w:p>
                <w:p w:rsidR="00A402A4" w:rsidRPr="00E21C30" w:rsidRDefault="00A402A4" w:rsidP="00A402A4">
                  <w:pPr>
                    <w:rPr>
                      <w:highlight w:val="yellow"/>
                    </w:rPr>
                  </w:pPr>
                </w:p>
                <w:p w:rsidR="00A402A4" w:rsidRPr="008B77E0" w:rsidRDefault="00D545F4" w:rsidP="00A402A4">
                  <w:pPr>
                    <w:rPr>
                      <w:b/>
                    </w:rPr>
                  </w:pPr>
                  <w:r>
                    <w:rPr>
                      <w:b/>
                    </w:rPr>
                    <w:t xml:space="preserve">Lancashire </w:t>
                  </w:r>
                  <w:r w:rsidR="007812A1">
                    <w:rPr>
                      <w:b/>
                    </w:rPr>
                    <w:t>District Councils</w:t>
                  </w:r>
                  <w:r>
                    <w:rPr>
                      <w:b/>
                    </w:rPr>
                    <w:t xml:space="preserve"> </w:t>
                  </w:r>
                </w:p>
                <w:p w:rsidR="00A402A4" w:rsidRDefault="00D545F4" w:rsidP="00A402A4">
                  <w:r>
                    <w:t xml:space="preserve">P </w:t>
                  </w:r>
                  <w:r w:rsidR="008B77E0">
                    <w:t>Leadbetter</w:t>
                  </w:r>
                </w:p>
                <w:p w:rsidR="008B77E0" w:rsidRPr="008B77E0" w:rsidRDefault="008B77E0" w:rsidP="00A402A4">
                  <w:r>
                    <w:t>I Grant</w:t>
                  </w:r>
                </w:p>
                <w:p w:rsidR="00A402A4" w:rsidRPr="00E21C30" w:rsidRDefault="00A402A4" w:rsidP="00A402A4">
                  <w:pPr>
                    <w:rPr>
                      <w:highlight w:val="yellow"/>
                    </w:rPr>
                  </w:pPr>
                </w:p>
                <w:p w:rsidR="00A402A4" w:rsidRPr="008B77E0" w:rsidRDefault="00D545F4" w:rsidP="00A402A4">
                  <w:pPr>
                    <w:rPr>
                      <w:b/>
                    </w:rPr>
                  </w:pPr>
                  <w:r>
                    <w:rPr>
                      <w:b/>
                    </w:rPr>
                    <w:t>Co-opted Members representing  Trade Unions</w:t>
                  </w:r>
                </w:p>
                <w:p w:rsidR="00A402A4" w:rsidRPr="008B77E0" w:rsidRDefault="00D545F4" w:rsidP="00A402A4">
                  <w:r>
                    <w:t>R P Harvey</w:t>
                  </w:r>
                </w:p>
                <w:p w:rsidR="00A402A4" w:rsidRPr="008B77E0" w:rsidRDefault="00D545F4" w:rsidP="00A402A4">
                  <w:r>
                    <w:t>R Whittle</w:t>
                  </w:r>
                </w:p>
                <w:p w:rsidR="0083436C" w:rsidRPr="008B77E0" w:rsidRDefault="0083436C" w:rsidP="00A402A4"/>
                <w:p w:rsidR="00A402A4" w:rsidRPr="008B77E0" w:rsidRDefault="00D545F4" w:rsidP="00A402A4">
                  <w:pPr>
                    <w:rPr>
                      <w:b/>
                    </w:rPr>
                  </w:pPr>
                  <w:r>
                    <w:rPr>
                      <w:b/>
                    </w:rPr>
                    <w:t>Co-opted Member representing   HE/FE Establishments</w:t>
                  </w:r>
                </w:p>
                <w:p w:rsidR="00A402A4" w:rsidRPr="00E21C30" w:rsidRDefault="00D545F4" w:rsidP="00A402A4">
                  <w:pPr>
                    <w:rPr>
                      <w:b/>
                      <w:highlight w:val="yellow"/>
                    </w:rPr>
                  </w:pPr>
                  <w:r>
                    <w:t>J McCann</w:t>
                  </w:r>
                </w:p>
              </w:tc>
              <w:tc>
                <w:tcPr>
                  <w:tcW w:w="3304" w:type="dxa"/>
                  <w:tcBorders>
                    <w:bottom w:val="nil"/>
                  </w:tcBorders>
                </w:tcPr>
                <w:p w:rsidR="00A402A4" w:rsidRPr="000624DD" w:rsidRDefault="00D545F4" w:rsidP="00A402A4">
                  <w:pPr>
                    <w:rPr>
                      <w:b/>
                    </w:rPr>
                  </w:pPr>
                  <w:r>
                    <w:rPr>
                      <w:b/>
                    </w:rPr>
                    <w:t>Fund Managers</w:t>
                  </w:r>
                </w:p>
                <w:p w:rsidR="00A402A4" w:rsidRPr="000624DD" w:rsidRDefault="00D545F4" w:rsidP="00A402A4">
                  <w:r>
                    <w:t>Legal &amp; General Investment Management</w:t>
                  </w:r>
                </w:p>
                <w:p w:rsidR="00A402A4" w:rsidRPr="00E21C30" w:rsidRDefault="00D545F4" w:rsidP="00A402A4">
                  <w:pPr>
                    <w:rPr>
                      <w:highlight w:val="yellow"/>
                    </w:rPr>
                  </w:pPr>
                  <w:r>
                    <w:t xml:space="preserve">Knight Frank </w:t>
                  </w:r>
                </w:p>
                <w:p w:rsidR="00A402A4" w:rsidRDefault="00D545F4" w:rsidP="00A402A4">
                  <w:r>
                    <w:t>Capital Dynamics</w:t>
                  </w:r>
                </w:p>
                <w:p w:rsidR="00960507" w:rsidRDefault="00960507" w:rsidP="00A402A4">
                  <w:r>
                    <w:t>Baillie Gifford &amp; Co</w:t>
                  </w:r>
                </w:p>
                <w:p w:rsidR="00960507" w:rsidRDefault="00960507" w:rsidP="00A402A4">
                  <w:r>
                    <w:t>MFS International (UK) Ltd</w:t>
                  </w:r>
                </w:p>
                <w:p w:rsidR="00960507" w:rsidRDefault="00960507" w:rsidP="00A402A4">
                  <w:r>
                    <w:t>Robeco</w:t>
                  </w:r>
                  <w:r w:rsidR="00180C86">
                    <w:t xml:space="preserve"> Institutional Asset</w:t>
                  </w:r>
                </w:p>
                <w:p w:rsidR="00180C86" w:rsidRDefault="00180C86" w:rsidP="00A402A4">
                  <w:r>
                    <w:t>Management</w:t>
                  </w:r>
                </w:p>
                <w:p w:rsidR="00960507" w:rsidRDefault="00960507" w:rsidP="00A402A4">
                  <w:r>
                    <w:t>Morgan Stanley Investment</w:t>
                  </w:r>
                </w:p>
                <w:p w:rsidR="00960507" w:rsidRDefault="00960507" w:rsidP="00A402A4">
                  <w:r>
                    <w:t>Management</w:t>
                  </w:r>
                </w:p>
                <w:p w:rsidR="00960507" w:rsidRDefault="00960507" w:rsidP="00A402A4">
                  <w:r>
                    <w:t>NGAM UK Ltd</w:t>
                  </w:r>
                </w:p>
                <w:p w:rsidR="00A402A4" w:rsidRPr="000E4312" w:rsidRDefault="00D545F4" w:rsidP="00A402A4">
                  <w:r>
                    <w:t>Mellon Transition Management</w:t>
                  </w:r>
                </w:p>
                <w:p w:rsidR="0055201F" w:rsidRPr="00E21C30" w:rsidRDefault="0055201F" w:rsidP="00A402A4">
                  <w:pPr>
                    <w:rPr>
                      <w:highlight w:val="yellow"/>
                    </w:rPr>
                  </w:pPr>
                </w:p>
                <w:p w:rsidR="00A402A4" w:rsidRPr="000624DD" w:rsidRDefault="00D545F4" w:rsidP="00A402A4">
                  <w:pPr>
                    <w:rPr>
                      <w:b/>
                    </w:rPr>
                  </w:pPr>
                  <w:r>
                    <w:rPr>
                      <w:b/>
                    </w:rPr>
                    <w:t>Custodian</w:t>
                  </w:r>
                </w:p>
                <w:p w:rsidR="00A402A4" w:rsidRPr="000624DD" w:rsidRDefault="00D545F4" w:rsidP="00A402A4">
                  <w:r>
                    <w:t>Northern Trust</w:t>
                  </w:r>
                </w:p>
                <w:p w:rsidR="0083436C" w:rsidRPr="00E21C30" w:rsidRDefault="0083436C" w:rsidP="00A402A4">
                  <w:pPr>
                    <w:rPr>
                      <w:highlight w:val="yellow"/>
                    </w:rPr>
                  </w:pPr>
                </w:p>
                <w:p w:rsidR="00A402A4" w:rsidRPr="000624DD" w:rsidRDefault="00D545F4" w:rsidP="00A402A4">
                  <w:pPr>
                    <w:rPr>
                      <w:b/>
                    </w:rPr>
                  </w:pPr>
                  <w:r>
                    <w:rPr>
                      <w:b/>
                    </w:rPr>
                    <w:t>Independent Investment Advisers</w:t>
                  </w:r>
                </w:p>
                <w:p w:rsidR="00A402A4" w:rsidRPr="000624DD" w:rsidRDefault="00D545F4" w:rsidP="00A402A4">
                  <w:r>
                    <w:t>E Lambert</w:t>
                  </w:r>
                </w:p>
                <w:p w:rsidR="00A402A4" w:rsidRPr="000624DD" w:rsidRDefault="00D545F4" w:rsidP="00A402A4">
                  <w:r>
                    <w:t>N Mills</w:t>
                  </w:r>
                </w:p>
                <w:p w:rsidR="00A402A4" w:rsidRPr="000624DD" w:rsidRDefault="00A402A4" w:rsidP="00A402A4"/>
                <w:p w:rsidR="00A402A4" w:rsidRPr="000624DD" w:rsidRDefault="00D545F4" w:rsidP="00A402A4">
                  <w:pPr>
                    <w:rPr>
                      <w:b/>
                    </w:rPr>
                  </w:pPr>
                  <w:r>
                    <w:rPr>
                      <w:b/>
                    </w:rPr>
                    <w:t>Treasurer to the Lancashire County Pension Fund</w:t>
                  </w:r>
                </w:p>
                <w:p w:rsidR="00A402A4" w:rsidRDefault="00D545F4" w:rsidP="003332F4">
                  <w:r>
                    <w:t>G Kilpatrick CPFA</w:t>
                  </w:r>
                </w:p>
                <w:p w:rsidR="00F22858" w:rsidRDefault="00F22858" w:rsidP="003332F4"/>
                <w:p w:rsidR="00F22858" w:rsidRPr="000624DD" w:rsidRDefault="00F22858" w:rsidP="00F22858">
                  <w:pPr>
                    <w:rPr>
                      <w:b/>
                    </w:rPr>
                  </w:pPr>
                  <w:r>
                    <w:rPr>
                      <w:b/>
                    </w:rPr>
                    <w:t>Actuary</w:t>
                  </w:r>
                </w:p>
                <w:p w:rsidR="00F22858" w:rsidRPr="000624DD" w:rsidRDefault="00F22858" w:rsidP="00F22858">
                  <w:r>
                    <w:t xml:space="preserve">Mercer </w:t>
                  </w:r>
                </w:p>
                <w:p w:rsidR="00F22858" w:rsidRPr="000624DD" w:rsidRDefault="00F22858" w:rsidP="00F22858"/>
                <w:p w:rsidR="00F22858" w:rsidRPr="000624DD" w:rsidRDefault="00F22858" w:rsidP="00F22858">
                  <w:pPr>
                    <w:rPr>
                      <w:b/>
                    </w:rPr>
                  </w:pPr>
                  <w:r>
                    <w:rPr>
                      <w:b/>
                    </w:rPr>
                    <w:t>Auditor</w:t>
                  </w:r>
                </w:p>
                <w:p w:rsidR="00F22858" w:rsidRPr="000624DD" w:rsidRDefault="00F22858" w:rsidP="00F22858">
                  <w:r>
                    <w:t>Grant Thornton</w:t>
                  </w:r>
                </w:p>
                <w:p w:rsidR="00F22858" w:rsidRPr="00E21C30" w:rsidRDefault="00F22858" w:rsidP="003332F4">
                  <w:pPr>
                    <w:rPr>
                      <w:b/>
                      <w:highlight w:val="yellow"/>
                    </w:rPr>
                  </w:pPr>
                </w:p>
              </w:tc>
              <w:tc>
                <w:tcPr>
                  <w:tcW w:w="3460" w:type="dxa"/>
                  <w:tcBorders>
                    <w:bottom w:val="nil"/>
                  </w:tcBorders>
                </w:tcPr>
                <w:p w:rsidR="00A402A4" w:rsidRPr="000624DD" w:rsidRDefault="00D545F4" w:rsidP="00A402A4">
                  <w:pPr>
                    <w:rPr>
                      <w:b/>
                    </w:rPr>
                  </w:pPr>
                  <w:r>
                    <w:rPr>
                      <w:b/>
                    </w:rPr>
                    <w:t>Property Solicitors</w:t>
                  </w:r>
                </w:p>
                <w:p w:rsidR="00A402A4" w:rsidRPr="000624DD" w:rsidRDefault="00D545F4" w:rsidP="00A402A4">
                  <w:proofErr w:type="spellStart"/>
                  <w:r>
                    <w:t>Pinsent</w:t>
                  </w:r>
                  <w:proofErr w:type="spellEnd"/>
                  <w:r>
                    <w:t xml:space="preserve"> Curtis Biddle</w:t>
                  </w:r>
                </w:p>
                <w:p w:rsidR="00A402A4" w:rsidRPr="000624DD" w:rsidRDefault="00D545F4" w:rsidP="00A402A4">
                  <w:r>
                    <w:t>DWF</w:t>
                  </w:r>
                </w:p>
                <w:p w:rsidR="000624DD" w:rsidRPr="000624DD" w:rsidRDefault="000624DD" w:rsidP="00A402A4"/>
                <w:p w:rsidR="00A402A4" w:rsidRPr="000624DD" w:rsidRDefault="00D545F4" w:rsidP="00A402A4">
                  <w:pPr>
                    <w:rPr>
                      <w:b/>
                    </w:rPr>
                  </w:pPr>
                  <w:r>
                    <w:rPr>
                      <w:b/>
                    </w:rPr>
                    <w:t>Independent Property Valuer</w:t>
                  </w:r>
                </w:p>
                <w:p w:rsidR="00A402A4" w:rsidRPr="000624DD" w:rsidRDefault="00D545F4" w:rsidP="00A402A4">
                  <w:r>
                    <w:t>Cushman &amp; Wakefield</w:t>
                  </w:r>
                </w:p>
                <w:p w:rsidR="00A402A4" w:rsidRPr="000624DD" w:rsidRDefault="00A402A4" w:rsidP="00A402A4"/>
                <w:p w:rsidR="00A402A4" w:rsidRPr="000624DD" w:rsidRDefault="00D545F4" w:rsidP="00A402A4">
                  <w:pPr>
                    <w:rPr>
                      <w:b/>
                    </w:rPr>
                  </w:pPr>
                  <w:r>
                    <w:rPr>
                      <w:b/>
                    </w:rPr>
                    <w:t>Corporate Governance Adviser</w:t>
                  </w:r>
                </w:p>
                <w:p w:rsidR="00A402A4" w:rsidRPr="000624DD" w:rsidRDefault="00D545F4" w:rsidP="00A402A4">
                  <w:r>
                    <w:t>PIRC</w:t>
                  </w:r>
                </w:p>
                <w:p w:rsidR="00A402A4" w:rsidRPr="000624DD" w:rsidRDefault="00A402A4" w:rsidP="00A402A4"/>
                <w:p w:rsidR="00A402A4" w:rsidRPr="000624DD" w:rsidRDefault="00D545F4" w:rsidP="00A402A4">
                  <w:pPr>
                    <w:rPr>
                      <w:b/>
                    </w:rPr>
                  </w:pPr>
                  <w:r>
                    <w:rPr>
                      <w:b/>
                    </w:rPr>
                    <w:t>Performance Measurement</w:t>
                  </w:r>
                </w:p>
                <w:p w:rsidR="00A402A4" w:rsidRPr="000624DD" w:rsidRDefault="00D545F4" w:rsidP="00A402A4">
                  <w:r>
                    <w:t>Northern Trust</w:t>
                  </w:r>
                </w:p>
                <w:p w:rsidR="00A402A4" w:rsidRPr="000624DD" w:rsidRDefault="00A402A4" w:rsidP="00A402A4"/>
                <w:p w:rsidR="00A402A4" w:rsidRPr="000624DD" w:rsidRDefault="00D545F4" w:rsidP="00A402A4">
                  <w:pPr>
                    <w:rPr>
                      <w:b/>
                    </w:rPr>
                  </w:pPr>
                  <w:r>
                    <w:rPr>
                      <w:b/>
                    </w:rPr>
                    <w:t>AVC Providers</w:t>
                  </w:r>
                </w:p>
                <w:p w:rsidR="00A402A4" w:rsidRPr="000624DD" w:rsidRDefault="00D545F4" w:rsidP="00A402A4">
                  <w:r>
                    <w:t>Prudential</w:t>
                  </w:r>
                </w:p>
                <w:p w:rsidR="00A402A4" w:rsidRPr="000624DD" w:rsidRDefault="00D545F4" w:rsidP="00A402A4">
                  <w:r>
                    <w:t>Equitable Life</w:t>
                  </w:r>
                </w:p>
                <w:p w:rsidR="00A402A4" w:rsidRPr="000624DD" w:rsidRDefault="00A402A4" w:rsidP="00A402A4"/>
                <w:p w:rsidR="00A402A4" w:rsidRPr="000624DD" w:rsidRDefault="00D545F4" w:rsidP="00A402A4">
                  <w:pPr>
                    <w:rPr>
                      <w:b/>
                    </w:rPr>
                  </w:pPr>
                  <w:r>
                    <w:rPr>
                      <w:b/>
                    </w:rPr>
                    <w:t>Legal Advisors (other than property)</w:t>
                  </w:r>
                </w:p>
                <w:p w:rsidR="00A402A4" w:rsidRDefault="00D545F4" w:rsidP="00A402A4">
                  <w:r>
                    <w:t>In House</w:t>
                  </w:r>
                </w:p>
                <w:p w:rsidR="00F22858" w:rsidRPr="00F22858" w:rsidRDefault="00670114" w:rsidP="00F22858">
                  <w:proofErr w:type="spellStart"/>
                  <w:r w:rsidRPr="00670114">
                    <w:t>MacFarlanes</w:t>
                  </w:r>
                  <w:proofErr w:type="spellEnd"/>
                </w:p>
                <w:p w:rsidR="00F22858" w:rsidRPr="00F22858" w:rsidRDefault="00670114" w:rsidP="00F22858">
                  <w:proofErr w:type="spellStart"/>
                  <w:r w:rsidRPr="00670114">
                    <w:t>Eversheds</w:t>
                  </w:r>
                  <w:proofErr w:type="spellEnd"/>
                </w:p>
                <w:p w:rsidR="00F22858" w:rsidRPr="00F22858" w:rsidRDefault="00670114" w:rsidP="00F22858">
                  <w:r w:rsidRPr="00670114">
                    <w:t>Clifford Chance</w:t>
                  </w:r>
                </w:p>
                <w:p w:rsidR="00F22858" w:rsidRPr="00F22858" w:rsidRDefault="00670114" w:rsidP="00F22858">
                  <w:r w:rsidRPr="00670114">
                    <w:t xml:space="preserve">Allen and </w:t>
                  </w:r>
                  <w:proofErr w:type="spellStart"/>
                  <w:r w:rsidRPr="00670114">
                    <w:t>Overy</w:t>
                  </w:r>
                  <w:proofErr w:type="spellEnd"/>
                </w:p>
                <w:p w:rsidR="00F22858" w:rsidRPr="00F22858" w:rsidRDefault="00670114" w:rsidP="00F22858">
                  <w:r w:rsidRPr="00670114">
                    <w:t xml:space="preserve">Taylor </w:t>
                  </w:r>
                  <w:proofErr w:type="spellStart"/>
                  <w:r w:rsidRPr="00670114">
                    <w:t>Wessing</w:t>
                  </w:r>
                  <w:proofErr w:type="spellEnd"/>
                </w:p>
                <w:p w:rsidR="00F22858" w:rsidRPr="00F22858" w:rsidRDefault="00670114" w:rsidP="00F22858">
                  <w:proofErr w:type="spellStart"/>
                  <w:r w:rsidRPr="00670114">
                    <w:t>Addleshaw</w:t>
                  </w:r>
                  <w:proofErr w:type="spellEnd"/>
                  <w:r w:rsidRPr="00670114">
                    <w:t xml:space="preserve"> Goddard</w:t>
                  </w:r>
                </w:p>
                <w:p w:rsidR="00A402A4" w:rsidRPr="000624DD" w:rsidRDefault="00A402A4" w:rsidP="00A402A4"/>
                <w:p w:rsidR="00A402A4" w:rsidRPr="000624DD" w:rsidRDefault="00D545F4" w:rsidP="00A402A4">
                  <w:pPr>
                    <w:rPr>
                      <w:b/>
                    </w:rPr>
                  </w:pPr>
                  <w:r>
                    <w:rPr>
                      <w:b/>
                    </w:rPr>
                    <w:t>Bankers</w:t>
                  </w:r>
                </w:p>
                <w:p w:rsidR="00A402A4" w:rsidRDefault="00D545F4" w:rsidP="00A402A4">
                  <w:pPr>
                    <w:rPr>
                      <w:b/>
                    </w:rPr>
                  </w:pPr>
                  <w:r>
                    <w:t>National Westminster</w:t>
                  </w:r>
                </w:p>
              </w:tc>
            </w:tr>
          </w:tbl>
          <w:p w:rsidR="00A402A4" w:rsidRDefault="00A402A4" w:rsidP="00AC3D87">
            <w:pPr>
              <w:ind w:left="284" w:hanging="284"/>
              <w:rPr>
                <w:b/>
              </w:rPr>
            </w:pPr>
          </w:p>
        </w:tc>
      </w:tr>
      <w:tr w:rsidR="004E3B4B" w:rsidTr="004E3B4B">
        <w:trPr>
          <w:trHeight w:val="315"/>
        </w:trPr>
        <w:tc>
          <w:tcPr>
            <w:tcW w:w="10632" w:type="dxa"/>
            <w:tcBorders>
              <w:top w:val="nil"/>
              <w:left w:val="nil"/>
              <w:bottom w:val="nil"/>
              <w:right w:val="nil"/>
            </w:tcBorders>
          </w:tcPr>
          <w:p w:rsidR="00897DBF" w:rsidRDefault="004914DC" w:rsidP="007F5205">
            <w:pPr>
              <w:ind w:left="318"/>
              <w:rPr>
                <w:snapToGrid w:val="0"/>
                <w:szCs w:val="24"/>
                <w:lang w:eastAsia="en-US"/>
              </w:rPr>
            </w:pPr>
            <w:r>
              <w:rPr>
                <w:snapToGrid w:val="0"/>
                <w:szCs w:val="24"/>
                <w:lang w:eastAsia="en-US"/>
              </w:rPr>
              <w:t>*Membership of the Pension Fund Committee changed following the Lancashire County Council elections in May 2013.  The new chair of the committee is C</w:t>
            </w:r>
            <w:r w:rsidR="007F5205">
              <w:rPr>
                <w:snapToGrid w:val="0"/>
                <w:szCs w:val="24"/>
                <w:lang w:eastAsia="en-US"/>
              </w:rPr>
              <w:t>ounty Councillor</w:t>
            </w:r>
            <w:r>
              <w:rPr>
                <w:snapToGrid w:val="0"/>
                <w:szCs w:val="24"/>
                <w:lang w:eastAsia="en-US"/>
              </w:rPr>
              <w:t xml:space="preserve"> T Burns.</w:t>
            </w:r>
          </w:p>
        </w:tc>
      </w:tr>
    </w:tbl>
    <w:p w:rsidR="000624DD" w:rsidRDefault="000624DD">
      <w:pPr>
        <w:rPr>
          <w:b/>
          <w:snapToGrid w:val="0"/>
          <w:sz w:val="28"/>
          <w:lang w:eastAsia="en-US"/>
        </w:rPr>
      </w:pPr>
    </w:p>
    <w:p w:rsidR="00217B40" w:rsidRDefault="00217B40">
      <w:pPr>
        <w:rPr>
          <w:b/>
          <w:snapToGrid w:val="0"/>
          <w:sz w:val="28"/>
          <w:lang w:eastAsia="en-US"/>
        </w:rPr>
      </w:pPr>
    </w:p>
    <w:p w:rsidR="00FC5EDB" w:rsidRPr="00217B40" w:rsidRDefault="00D545F4" w:rsidP="00011588">
      <w:pPr>
        <w:numPr>
          <w:ilvl w:val="0"/>
          <w:numId w:val="10"/>
        </w:numPr>
        <w:rPr>
          <w:b/>
          <w:snapToGrid w:val="0"/>
          <w:sz w:val="28"/>
          <w:szCs w:val="28"/>
          <w:lang w:eastAsia="en-US"/>
        </w:rPr>
      </w:pPr>
      <w:r>
        <w:rPr>
          <w:b/>
          <w:snapToGrid w:val="0"/>
          <w:sz w:val="28"/>
          <w:szCs w:val="28"/>
          <w:lang w:eastAsia="en-US"/>
        </w:rPr>
        <w:t xml:space="preserve">Overview of Management and Financial Performance </w:t>
      </w:r>
    </w:p>
    <w:p w:rsidR="00730387" w:rsidRPr="00E21C30" w:rsidRDefault="00730387" w:rsidP="00730387">
      <w:pPr>
        <w:rPr>
          <w:highlight w:val="yellow"/>
        </w:rPr>
      </w:pPr>
    </w:p>
    <w:p w:rsidR="00217B40" w:rsidRDefault="00217B40" w:rsidP="00217B40">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investment </w:t>
      </w:r>
      <w:r>
        <w:rPr>
          <w:rFonts w:ascii="ArialMT" w:hAnsi="ArialMT" w:cs="ArialMT"/>
          <w:color w:val="000000"/>
          <w:szCs w:val="24"/>
        </w:rPr>
        <w:t xml:space="preserve">performance </w:t>
      </w:r>
      <w:r w:rsidRPr="00B1662E">
        <w:rPr>
          <w:rFonts w:ascii="ArialMT" w:hAnsi="ArialMT" w:cs="ArialMT"/>
          <w:color w:val="000000"/>
          <w:szCs w:val="24"/>
        </w:rPr>
        <w:t xml:space="preserve">of the Lancashire </w:t>
      </w:r>
      <w:r>
        <w:rPr>
          <w:rFonts w:ascii="ArialMT" w:hAnsi="ArialMT" w:cs="ArialMT"/>
          <w:color w:val="000000"/>
          <w:szCs w:val="24"/>
        </w:rPr>
        <w:t>County Pension Fund during 2012/13 has been driven primarily by the substantial asset allocation and manager changes made from late 2011 onwards.</w:t>
      </w:r>
    </w:p>
    <w:p w:rsidR="00217B40" w:rsidRDefault="00217B40" w:rsidP="00217B40">
      <w:pPr>
        <w:autoSpaceDE w:val="0"/>
        <w:autoSpaceDN w:val="0"/>
        <w:adjustRightInd w:val="0"/>
        <w:rPr>
          <w:rFonts w:ascii="ArialMT" w:hAnsi="ArialMT" w:cs="ArialMT"/>
          <w:color w:val="000000"/>
          <w:szCs w:val="24"/>
        </w:rPr>
      </w:pPr>
    </w:p>
    <w:p w:rsidR="00217B40" w:rsidRDefault="00217B40" w:rsidP="00217B40">
      <w:pPr>
        <w:autoSpaceDE w:val="0"/>
        <w:autoSpaceDN w:val="0"/>
        <w:adjustRightInd w:val="0"/>
        <w:rPr>
          <w:rFonts w:ascii="ArialMT" w:hAnsi="ArialMT" w:cs="ArialMT"/>
          <w:color w:val="000000"/>
          <w:szCs w:val="24"/>
        </w:rPr>
      </w:pPr>
      <w:r>
        <w:rPr>
          <w:rFonts w:ascii="ArialMT" w:hAnsi="ArialMT" w:cs="ArialMT"/>
          <w:color w:val="000000"/>
          <w:szCs w:val="24"/>
        </w:rPr>
        <w:t xml:space="preserve">Markets benefited from perceived </w:t>
      </w:r>
      <w:r w:rsidR="00D709B5">
        <w:rPr>
          <w:rFonts w:ascii="ArialMT" w:hAnsi="ArialMT" w:cs="ArialMT"/>
          <w:color w:val="000000"/>
          <w:szCs w:val="24"/>
        </w:rPr>
        <w:t>reduction</w:t>
      </w:r>
      <w:r w:rsidR="009A472C">
        <w:rPr>
          <w:rFonts w:ascii="ArialMT" w:hAnsi="ArialMT" w:cs="ArialMT"/>
          <w:color w:val="000000"/>
          <w:szCs w:val="24"/>
        </w:rPr>
        <w:t xml:space="preserve"> in risks</w:t>
      </w:r>
      <w:r w:rsidR="00D709B5">
        <w:rPr>
          <w:rFonts w:ascii="ArialMT" w:hAnsi="ArialMT" w:cs="ArialMT"/>
          <w:color w:val="000000"/>
          <w:szCs w:val="24"/>
        </w:rPr>
        <w:t xml:space="preserve">, </w:t>
      </w:r>
      <w:r>
        <w:rPr>
          <w:rFonts w:ascii="ArialMT" w:hAnsi="ArialMT" w:cs="ArialMT"/>
          <w:color w:val="000000"/>
          <w:szCs w:val="24"/>
        </w:rPr>
        <w:t xml:space="preserve">in particular those emanating from the Eurozone which had produced a highly volatile backdrop to global investment activity during the previous year. The actions of Mario </w:t>
      </w:r>
      <w:proofErr w:type="spellStart"/>
      <w:r>
        <w:rPr>
          <w:rFonts w:ascii="ArialMT" w:hAnsi="ArialMT" w:cs="ArialMT"/>
          <w:color w:val="000000"/>
          <w:szCs w:val="24"/>
        </w:rPr>
        <w:t>Draghi</w:t>
      </w:r>
      <w:proofErr w:type="spellEnd"/>
      <w:r w:rsidR="00FB3FCF">
        <w:rPr>
          <w:rFonts w:ascii="ArialMT" w:hAnsi="ArialMT" w:cs="ArialMT"/>
          <w:color w:val="000000"/>
          <w:szCs w:val="24"/>
        </w:rPr>
        <w:t>,</w:t>
      </w:r>
      <w:r>
        <w:rPr>
          <w:rFonts w:ascii="ArialMT" w:hAnsi="ArialMT" w:cs="ArialMT"/>
          <w:color w:val="000000"/>
          <w:szCs w:val="24"/>
        </w:rPr>
        <w:t xml:space="preserve"> the head of the European Central Bank</w:t>
      </w:r>
      <w:r w:rsidR="00FB3FCF">
        <w:rPr>
          <w:rFonts w:ascii="ArialMT" w:hAnsi="ArialMT" w:cs="ArialMT"/>
          <w:color w:val="000000"/>
          <w:szCs w:val="24"/>
        </w:rPr>
        <w:t>,</w:t>
      </w:r>
      <w:r>
        <w:rPr>
          <w:rFonts w:ascii="ArialMT" w:hAnsi="ArialMT" w:cs="ArialMT"/>
          <w:color w:val="000000"/>
          <w:szCs w:val="24"/>
        </w:rPr>
        <w:t xml:space="preserve"> in particular can be credited with reducing market volatility.</w:t>
      </w:r>
    </w:p>
    <w:p w:rsidR="00217B40" w:rsidRDefault="00217B40" w:rsidP="00217B40">
      <w:pPr>
        <w:autoSpaceDE w:val="0"/>
        <w:autoSpaceDN w:val="0"/>
        <w:adjustRightInd w:val="0"/>
        <w:rPr>
          <w:rFonts w:ascii="ArialMT" w:hAnsi="ArialMT" w:cs="ArialMT"/>
          <w:color w:val="000000"/>
          <w:szCs w:val="24"/>
        </w:rPr>
      </w:pPr>
    </w:p>
    <w:p w:rsidR="00217B40" w:rsidRDefault="00217B40" w:rsidP="00217B40">
      <w:pPr>
        <w:autoSpaceDE w:val="0"/>
        <w:autoSpaceDN w:val="0"/>
        <w:adjustRightInd w:val="0"/>
        <w:rPr>
          <w:rFonts w:ascii="ArialMT" w:hAnsi="ArialMT" w:cs="ArialMT"/>
          <w:color w:val="000000"/>
          <w:szCs w:val="24"/>
        </w:rPr>
      </w:pPr>
      <w:r>
        <w:rPr>
          <w:rFonts w:ascii="ArialMT" w:hAnsi="ArialMT" w:cs="ArialMT"/>
          <w:color w:val="000000"/>
          <w:szCs w:val="24"/>
        </w:rPr>
        <w:t>The continued efforts by many of the world's central banks in adding liquidity to global markets also helped reduce financial anxiety, helping to create a general improvement in asset prices. The economy of the United States has been the principal beneficiary of this stability as consumer confidence has return</w:t>
      </w:r>
      <w:r w:rsidR="00905671">
        <w:rPr>
          <w:rFonts w:ascii="ArialMT" w:hAnsi="ArialMT" w:cs="ArialMT"/>
          <w:color w:val="000000"/>
          <w:szCs w:val="24"/>
        </w:rPr>
        <w:t>ed,</w:t>
      </w:r>
      <w:r>
        <w:rPr>
          <w:rFonts w:ascii="ArialMT" w:hAnsi="ArialMT" w:cs="ArialMT"/>
          <w:color w:val="000000"/>
          <w:szCs w:val="24"/>
        </w:rPr>
        <w:t xml:space="preserve"> particularly to the housing market. Late in the year the new Japanese government announced its own aggressive version of Quantitative Easing (QE) adding yet more liquidity to the system. </w:t>
      </w:r>
    </w:p>
    <w:p w:rsidR="00217B40" w:rsidRDefault="00217B40" w:rsidP="00217B40">
      <w:pPr>
        <w:autoSpaceDE w:val="0"/>
        <w:autoSpaceDN w:val="0"/>
        <w:adjustRightInd w:val="0"/>
        <w:rPr>
          <w:rFonts w:ascii="ArialMT" w:hAnsi="ArialMT" w:cs="ArialMT"/>
          <w:color w:val="000000"/>
          <w:szCs w:val="24"/>
        </w:rPr>
      </w:pPr>
    </w:p>
    <w:p w:rsidR="00217B40" w:rsidRDefault="00217B40" w:rsidP="00217B40">
      <w:pPr>
        <w:autoSpaceDE w:val="0"/>
        <w:autoSpaceDN w:val="0"/>
        <w:adjustRightInd w:val="0"/>
        <w:rPr>
          <w:rFonts w:ascii="ArialMT" w:hAnsi="ArialMT" w:cs="ArialMT"/>
          <w:color w:val="000000"/>
          <w:szCs w:val="24"/>
        </w:rPr>
      </w:pPr>
      <w:r>
        <w:rPr>
          <w:rFonts w:ascii="ArialMT" w:hAnsi="ArialMT" w:cs="ArialMT"/>
          <w:color w:val="000000"/>
          <w:szCs w:val="24"/>
        </w:rPr>
        <w:t>There are still many strong cross currents to be negotiated in world markets</w:t>
      </w:r>
      <w:r w:rsidR="00D709B5">
        <w:rPr>
          <w:rFonts w:ascii="ArialMT" w:hAnsi="ArialMT" w:cs="ArialMT"/>
          <w:color w:val="000000"/>
          <w:szCs w:val="24"/>
        </w:rPr>
        <w:t xml:space="preserve">, </w:t>
      </w:r>
      <w:r>
        <w:rPr>
          <w:rFonts w:ascii="ArialMT" w:hAnsi="ArialMT" w:cs="ArialMT"/>
          <w:color w:val="000000"/>
          <w:szCs w:val="24"/>
        </w:rPr>
        <w:t xml:space="preserve">in particular a </w:t>
      </w:r>
      <w:proofErr w:type="spellStart"/>
      <w:r>
        <w:rPr>
          <w:rFonts w:ascii="ArialMT" w:hAnsi="ArialMT" w:cs="ArialMT"/>
          <w:color w:val="000000"/>
          <w:szCs w:val="24"/>
        </w:rPr>
        <w:t>slow down</w:t>
      </w:r>
      <w:proofErr w:type="spellEnd"/>
      <w:r>
        <w:rPr>
          <w:rFonts w:ascii="ArialMT" w:hAnsi="ArialMT" w:cs="ArialMT"/>
          <w:color w:val="000000"/>
          <w:szCs w:val="24"/>
        </w:rPr>
        <w:t xml:space="preserve"> in emerging market growth, the potential for developed world deflation and residual risks in European sovereign and bank debt markets.   </w:t>
      </w:r>
    </w:p>
    <w:p w:rsidR="00217B40" w:rsidRDefault="00217B40" w:rsidP="00217B40">
      <w:pPr>
        <w:autoSpaceDE w:val="0"/>
        <w:autoSpaceDN w:val="0"/>
        <w:adjustRightInd w:val="0"/>
        <w:rPr>
          <w:rFonts w:ascii="ArialMT" w:hAnsi="ArialMT" w:cs="ArialMT"/>
          <w:color w:val="000000"/>
          <w:szCs w:val="24"/>
        </w:rPr>
      </w:pPr>
    </w:p>
    <w:p w:rsidR="00217B40" w:rsidRPr="00B1662E" w:rsidRDefault="00217B40" w:rsidP="00217B40">
      <w:pPr>
        <w:autoSpaceDE w:val="0"/>
        <w:autoSpaceDN w:val="0"/>
        <w:adjustRightInd w:val="0"/>
        <w:rPr>
          <w:rFonts w:ascii="ArialMT" w:hAnsi="ArialMT" w:cs="ArialMT"/>
          <w:color w:val="000000"/>
          <w:szCs w:val="24"/>
        </w:rPr>
      </w:pPr>
      <w:r>
        <w:rPr>
          <w:rFonts w:ascii="ArialMT" w:hAnsi="ArialMT" w:cs="ArialMT"/>
          <w:color w:val="000000"/>
          <w:szCs w:val="24"/>
        </w:rPr>
        <w:t>The strong rally in world Equity markets in the final quarter of the year produced a 9.1% rise in the FTSE100,</w:t>
      </w:r>
      <w:r w:rsidR="00082C92">
        <w:rPr>
          <w:rFonts w:ascii="ArialMT" w:hAnsi="ArialMT" w:cs="ArialMT"/>
          <w:color w:val="000000"/>
          <w:szCs w:val="24"/>
        </w:rPr>
        <w:t xml:space="preserve"> </w:t>
      </w:r>
      <w:r>
        <w:rPr>
          <w:rFonts w:ascii="ArialMT" w:hAnsi="ArialMT" w:cs="ArialMT"/>
          <w:color w:val="000000"/>
          <w:szCs w:val="24"/>
        </w:rPr>
        <w:t>whilst with the additional benefit of the fall in the value of Sterling produce</w:t>
      </w:r>
      <w:r w:rsidR="00082C92">
        <w:rPr>
          <w:rFonts w:ascii="ArialMT" w:hAnsi="ArialMT" w:cs="ArialMT"/>
          <w:color w:val="000000"/>
          <w:szCs w:val="24"/>
        </w:rPr>
        <w:t>d</w:t>
      </w:r>
      <w:r>
        <w:rPr>
          <w:rFonts w:ascii="ArialMT" w:hAnsi="ArialMT" w:cs="ArialMT"/>
          <w:color w:val="000000"/>
          <w:szCs w:val="24"/>
        </w:rPr>
        <w:t xml:space="preserve"> a rise in the MSCI all world of 14.</w:t>
      </w:r>
      <w:r w:rsidR="00D709B5">
        <w:rPr>
          <w:rFonts w:ascii="ArialMT" w:hAnsi="ArialMT" w:cs="ArialMT"/>
          <w:color w:val="000000"/>
          <w:szCs w:val="24"/>
        </w:rPr>
        <w:t>2</w:t>
      </w:r>
      <w:r>
        <w:rPr>
          <w:rFonts w:ascii="ArialMT" w:hAnsi="ArialMT" w:cs="ArialMT"/>
          <w:color w:val="000000"/>
          <w:szCs w:val="24"/>
        </w:rPr>
        <w:t xml:space="preserve">%. </w:t>
      </w:r>
      <w:r w:rsidRPr="00B1662E">
        <w:rPr>
          <w:rFonts w:ascii="ArialMT" w:hAnsi="ArialMT" w:cs="ArialMT"/>
          <w:color w:val="000000"/>
          <w:szCs w:val="24"/>
        </w:rPr>
        <w:t xml:space="preserve">Credit markets continued </w:t>
      </w:r>
      <w:r>
        <w:rPr>
          <w:rFonts w:ascii="ArialMT" w:hAnsi="ArialMT" w:cs="ArialMT"/>
          <w:color w:val="000000"/>
          <w:szCs w:val="24"/>
        </w:rPr>
        <w:t>to perform positively as the perception of risk fell,</w:t>
      </w:r>
      <w:r w:rsidRPr="00B1662E">
        <w:rPr>
          <w:rFonts w:ascii="ArialMT" w:hAnsi="ArialMT" w:cs="ArialMT"/>
          <w:color w:val="000000"/>
          <w:szCs w:val="24"/>
        </w:rPr>
        <w:t xml:space="preserve"> the IBOX non Gilt Sterling index</w:t>
      </w:r>
      <w:r>
        <w:rPr>
          <w:rFonts w:ascii="ArialMT" w:hAnsi="ArialMT" w:cs="ArialMT"/>
          <w:color w:val="000000"/>
          <w:szCs w:val="24"/>
        </w:rPr>
        <w:t xml:space="preserve"> (a published index based on a broad range of high quality corporate bonds of varying maturity) rose</w:t>
      </w:r>
      <w:r w:rsidRPr="00B1662E">
        <w:rPr>
          <w:rFonts w:ascii="ArialMT" w:hAnsi="ArialMT" w:cs="ArialMT"/>
          <w:color w:val="000000"/>
          <w:szCs w:val="24"/>
        </w:rPr>
        <w:t xml:space="preserve"> </w:t>
      </w:r>
      <w:r>
        <w:rPr>
          <w:rFonts w:ascii="ArialMT" w:hAnsi="ArialMT" w:cs="ArialMT"/>
          <w:color w:val="000000"/>
          <w:szCs w:val="24"/>
        </w:rPr>
        <w:t>7.0</w:t>
      </w:r>
      <w:r w:rsidRPr="00B1662E">
        <w:rPr>
          <w:rFonts w:ascii="ArialMT" w:hAnsi="ArialMT" w:cs="ArialMT"/>
          <w:color w:val="000000"/>
          <w:szCs w:val="24"/>
        </w:rPr>
        <w:t xml:space="preserve">%.   </w:t>
      </w:r>
    </w:p>
    <w:p w:rsidR="00217B40" w:rsidRPr="00B1662E" w:rsidRDefault="00217B40" w:rsidP="00217B40">
      <w:pPr>
        <w:autoSpaceDE w:val="0"/>
        <w:autoSpaceDN w:val="0"/>
        <w:adjustRightInd w:val="0"/>
        <w:rPr>
          <w:rFonts w:ascii="ArialMT" w:hAnsi="ArialMT" w:cs="ArialMT"/>
          <w:color w:val="000000"/>
          <w:szCs w:val="24"/>
        </w:rPr>
      </w:pPr>
    </w:p>
    <w:p w:rsidR="00217B40" w:rsidRDefault="00217B40" w:rsidP="00730387">
      <w:pPr>
        <w:autoSpaceDE w:val="0"/>
        <w:autoSpaceDN w:val="0"/>
        <w:adjustRightInd w:val="0"/>
        <w:rPr>
          <w:rFonts w:ascii="ArialMT" w:hAnsi="ArialMT" w:cs="ArialMT"/>
          <w:color w:val="000000"/>
          <w:szCs w:val="24"/>
        </w:rPr>
      </w:pPr>
      <w:r w:rsidRPr="00B1662E">
        <w:rPr>
          <w:rFonts w:ascii="ArialMT" w:hAnsi="ArialMT" w:cs="ArialMT"/>
          <w:color w:val="000000"/>
          <w:szCs w:val="24"/>
        </w:rPr>
        <w:t>Government bond markets</w:t>
      </w:r>
      <w:r>
        <w:rPr>
          <w:rFonts w:ascii="ArialMT" w:hAnsi="ArialMT" w:cs="ArialMT"/>
          <w:color w:val="000000"/>
          <w:szCs w:val="24"/>
        </w:rPr>
        <w:t xml:space="preserve"> in the US, UK and core Europe</w:t>
      </w:r>
      <w:r w:rsidRPr="00B1662E">
        <w:rPr>
          <w:rFonts w:ascii="ArialMT" w:hAnsi="ArialMT" w:cs="ArialMT"/>
          <w:color w:val="000000"/>
          <w:szCs w:val="24"/>
        </w:rPr>
        <w:t xml:space="preserve"> performed well over the 12 month period, the IBOX </w:t>
      </w:r>
      <w:r>
        <w:rPr>
          <w:rFonts w:ascii="ArialMT" w:hAnsi="ArialMT" w:cs="ArialMT"/>
          <w:color w:val="000000"/>
          <w:szCs w:val="24"/>
        </w:rPr>
        <w:t>15yr+ Gilt</w:t>
      </w:r>
      <w:r w:rsidRPr="00B1662E">
        <w:rPr>
          <w:rFonts w:ascii="ArialMT" w:hAnsi="ArialMT" w:cs="ArialMT"/>
          <w:color w:val="000000"/>
          <w:szCs w:val="24"/>
        </w:rPr>
        <w:t xml:space="preserve"> index rose </w:t>
      </w:r>
      <w:r>
        <w:rPr>
          <w:rFonts w:ascii="ArialMT" w:hAnsi="ArialMT" w:cs="ArialMT"/>
          <w:color w:val="000000"/>
          <w:szCs w:val="24"/>
        </w:rPr>
        <w:t>8.9</w:t>
      </w:r>
      <w:r w:rsidRPr="00B1662E">
        <w:rPr>
          <w:rFonts w:ascii="ArialMT" w:hAnsi="ArialMT" w:cs="ArialMT"/>
          <w:color w:val="000000"/>
          <w:szCs w:val="24"/>
        </w:rPr>
        <w:t xml:space="preserve">% </w:t>
      </w:r>
      <w:r>
        <w:rPr>
          <w:rFonts w:ascii="ArialMT" w:hAnsi="ArialMT" w:cs="ArialMT"/>
          <w:color w:val="000000"/>
          <w:szCs w:val="24"/>
        </w:rPr>
        <w:t>buoyed by the addition of liquidity by monetary authorities.</w:t>
      </w:r>
    </w:p>
    <w:p w:rsidR="00730387" w:rsidRPr="00E21C30" w:rsidRDefault="00730387" w:rsidP="00730387">
      <w:pPr>
        <w:autoSpaceDE w:val="0"/>
        <w:autoSpaceDN w:val="0"/>
        <w:adjustRightInd w:val="0"/>
        <w:rPr>
          <w:rFonts w:ascii="ArialMT" w:hAnsi="ArialMT" w:cs="ArialMT"/>
          <w:color w:val="000000"/>
          <w:szCs w:val="24"/>
          <w:highlight w:val="yellow"/>
        </w:rPr>
      </w:pPr>
    </w:p>
    <w:p w:rsidR="00217B40" w:rsidRDefault="00217B40" w:rsidP="00217B40">
      <w:pPr>
        <w:autoSpaceDE w:val="0"/>
        <w:autoSpaceDN w:val="0"/>
        <w:adjustRightInd w:val="0"/>
        <w:rPr>
          <w:rFonts w:ascii="ArialMT" w:hAnsi="ArialMT" w:cs="ArialMT"/>
          <w:szCs w:val="24"/>
        </w:rPr>
      </w:pPr>
      <w:r w:rsidRPr="00B1662E">
        <w:rPr>
          <w:rFonts w:ascii="ArialMT" w:hAnsi="ArialMT" w:cs="ArialMT"/>
          <w:szCs w:val="24"/>
        </w:rPr>
        <w:t>20</w:t>
      </w:r>
      <w:r>
        <w:rPr>
          <w:rFonts w:ascii="ArialMT" w:hAnsi="ArialMT" w:cs="ArialMT"/>
          <w:szCs w:val="24"/>
        </w:rPr>
        <w:t xml:space="preserve">12/13 </w:t>
      </w:r>
      <w:r w:rsidRPr="00B1662E">
        <w:rPr>
          <w:rFonts w:ascii="ArialMT" w:hAnsi="ArialMT" w:cs="ArialMT"/>
          <w:szCs w:val="24"/>
        </w:rPr>
        <w:t>was a period of</w:t>
      </w:r>
      <w:r>
        <w:rPr>
          <w:rFonts w:ascii="ArialMT" w:hAnsi="ArialMT" w:cs="ArialMT"/>
          <w:szCs w:val="24"/>
        </w:rPr>
        <w:t xml:space="preserve"> implementation of revised</w:t>
      </w:r>
      <w:r w:rsidR="007812A1">
        <w:rPr>
          <w:rFonts w:ascii="ArialMT" w:hAnsi="ArialMT" w:cs="ArialMT"/>
          <w:szCs w:val="24"/>
        </w:rPr>
        <w:t xml:space="preserve"> investment</w:t>
      </w:r>
      <w:r>
        <w:rPr>
          <w:rFonts w:ascii="ArialMT" w:hAnsi="ArialMT" w:cs="ArialMT"/>
          <w:szCs w:val="24"/>
        </w:rPr>
        <w:t xml:space="preserve"> allocations for the Fund.</w:t>
      </w:r>
      <w:r w:rsidRPr="00B1662E">
        <w:rPr>
          <w:rFonts w:ascii="ArialMT" w:hAnsi="ArialMT" w:cs="ArialMT"/>
          <w:szCs w:val="24"/>
        </w:rPr>
        <w:t xml:space="preserve"> </w:t>
      </w:r>
      <w:r>
        <w:rPr>
          <w:rFonts w:ascii="ArialMT" w:hAnsi="ArialMT" w:cs="ArialMT"/>
          <w:szCs w:val="24"/>
        </w:rPr>
        <w:t>The early steps into lower volatility investment made late in the previous year were augmented by radical changes to the Funds approach to equity investing, shifting focus away from the UK to a global bias and the use of more active investing styles. Whilst the Fund should always view performance over the medium rather than short term it has been pleasing to see changes having immediate effects, both in terms of absolute and relative performance but also of total Fund volatility.</w:t>
      </w:r>
    </w:p>
    <w:p w:rsidR="00217B40" w:rsidRDefault="00217B40" w:rsidP="00217B40">
      <w:pPr>
        <w:autoSpaceDE w:val="0"/>
        <w:autoSpaceDN w:val="0"/>
        <w:adjustRightInd w:val="0"/>
        <w:rPr>
          <w:rFonts w:ascii="ArialMT" w:hAnsi="ArialMT" w:cs="ArialMT"/>
          <w:szCs w:val="24"/>
        </w:rPr>
      </w:pPr>
      <w:r>
        <w:rPr>
          <w:rFonts w:ascii="ArialMT" w:hAnsi="ArialMT" w:cs="ArialMT"/>
          <w:szCs w:val="24"/>
        </w:rPr>
        <w:t xml:space="preserve"> </w:t>
      </w:r>
    </w:p>
    <w:p w:rsidR="00E1773C" w:rsidRPr="00E21C30" w:rsidRDefault="00217B40" w:rsidP="00217B40">
      <w:pPr>
        <w:autoSpaceDE w:val="0"/>
        <w:autoSpaceDN w:val="0"/>
        <w:adjustRightInd w:val="0"/>
        <w:rPr>
          <w:rFonts w:ascii="ArialMT" w:hAnsi="ArialMT" w:cs="ArialMT"/>
          <w:szCs w:val="24"/>
          <w:highlight w:val="yellow"/>
        </w:rPr>
      </w:pPr>
      <w:r w:rsidRPr="00B1662E">
        <w:rPr>
          <w:rFonts w:ascii="ArialMT" w:hAnsi="ArialMT" w:cs="ArialMT"/>
          <w:szCs w:val="24"/>
        </w:rPr>
        <w:t xml:space="preserve">The overall return </w:t>
      </w:r>
      <w:r>
        <w:rPr>
          <w:rFonts w:ascii="ArialMT" w:hAnsi="ArialMT" w:cs="ArialMT"/>
          <w:szCs w:val="24"/>
        </w:rPr>
        <w:t>achieved by the Fund during 2012/13</w:t>
      </w:r>
      <w:r w:rsidRPr="00B1662E">
        <w:rPr>
          <w:rFonts w:ascii="ArialMT" w:hAnsi="ArialMT" w:cs="ArialMT"/>
          <w:szCs w:val="24"/>
        </w:rPr>
        <w:t xml:space="preserve"> was </w:t>
      </w:r>
      <w:r>
        <w:rPr>
          <w:rFonts w:ascii="ArialMT" w:hAnsi="ArialMT" w:cs="ArialMT"/>
          <w:szCs w:val="24"/>
        </w:rPr>
        <w:t>14.</w:t>
      </w:r>
      <w:r w:rsidR="00D709B5">
        <w:rPr>
          <w:rFonts w:ascii="ArialMT" w:hAnsi="ArialMT" w:cs="ArialMT"/>
          <w:szCs w:val="24"/>
        </w:rPr>
        <w:t>9</w:t>
      </w:r>
      <w:r w:rsidRPr="00B1662E">
        <w:rPr>
          <w:rFonts w:ascii="ArialMT" w:hAnsi="ArialMT" w:cs="ArialMT"/>
          <w:szCs w:val="24"/>
        </w:rPr>
        <w:t xml:space="preserve">% compared to the benchmark return of </w:t>
      </w:r>
      <w:r>
        <w:rPr>
          <w:rFonts w:ascii="ArialMT" w:hAnsi="ArialMT" w:cs="ArialMT"/>
          <w:szCs w:val="24"/>
        </w:rPr>
        <w:t>13.</w:t>
      </w:r>
      <w:r w:rsidR="00AF5974">
        <w:rPr>
          <w:rFonts w:ascii="ArialMT" w:hAnsi="ArialMT" w:cs="ArialMT"/>
          <w:szCs w:val="24"/>
        </w:rPr>
        <w:t>5</w:t>
      </w:r>
      <w:r w:rsidRPr="00B1662E">
        <w:rPr>
          <w:rFonts w:ascii="ArialMT" w:hAnsi="ArialMT" w:cs="ArialMT"/>
          <w:szCs w:val="24"/>
        </w:rPr>
        <w:t xml:space="preserve">% and the </w:t>
      </w:r>
      <w:r>
        <w:rPr>
          <w:rFonts w:ascii="ArialMT" w:hAnsi="ArialMT" w:cs="ArialMT"/>
          <w:szCs w:val="24"/>
        </w:rPr>
        <w:t>actuarial liability benchmark of Gilts +2.5% (7.</w:t>
      </w:r>
      <w:r w:rsidR="00D709B5">
        <w:rPr>
          <w:rFonts w:ascii="ArialMT" w:hAnsi="ArialMT" w:cs="ArialMT"/>
          <w:szCs w:val="24"/>
        </w:rPr>
        <w:t>9</w:t>
      </w:r>
      <w:r>
        <w:rPr>
          <w:rFonts w:ascii="ArialMT" w:hAnsi="ArialMT" w:cs="ArialMT"/>
          <w:szCs w:val="24"/>
        </w:rPr>
        <w:t xml:space="preserve">%) and </w:t>
      </w:r>
      <w:r w:rsidRPr="00B1662E">
        <w:rPr>
          <w:rFonts w:ascii="ArialMT" w:hAnsi="ArialMT" w:cs="ArialMT"/>
          <w:szCs w:val="24"/>
        </w:rPr>
        <w:t xml:space="preserve">average local authority return of </w:t>
      </w:r>
      <w:r>
        <w:rPr>
          <w:rFonts w:ascii="ArialMT" w:hAnsi="ArialMT" w:cs="ArialMT"/>
          <w:szCs w:val="24"/>
        </w:rPr>
        <w:t xml:space="preserve">13.8%. This ranked in the </w:t>
      </w:r>
      <w:r w:rsidR="00A47094">
        <w:rPr>
          <w:rFonts w:ascii="ArialMT" w:hAnsi="ArialMT" w:cs="ArialMT"/>
          <w:szCs w:val="24"/>
        </w:rPr>
        <w:t>24</w:t>
      </w:r>
      <w:r w:rsidR="00FB3FCF">
        <w:rPr>
          <w:rFonts w:ascii="ArialMT" w:hAnsi="ArialMT" w:cs="ArialMT"/>
          <w:szCs w:val="24"/>
        </w:rPr>
        <w:t>th</w:t>
      </w:r>
      <w:r>
        <w:rPr>
          <w:rFonts w:ascii="ArialMT" w:hAnsi="ArialMT" w:cs="ArialMT"/>
          <w:szCs w:val="24"/>
        </w:rPr>
        <w:t xml:space="preserve"> </w:t>
      </w:r>
      <w:r w:rsidRPr="00B1662E">
        <w:rPr>
          <w:rFonts w:ascii="ArialMT" w:hAnsi="ArialMT" w:cs="ArialMT"/>
          <w:szCs w:val="24"/>
        </w:rPr>
        <w:t>percentile of the WM Local Authority Universe</w:t>
      </w:r>
      <w:r>
        <w:rPr>
          <w:rFonts w:ascii="ArialMT" w:hAnsi="ArialMT" w:cs="ArialMT"/>
          <w:szCs w:val="24"/>
        </w:rPr>
        <w:t>, the majority of out performance coming from the new active equity mandates, property and the internally managed funds. The major drag on performance came from the funds fixed income mandates, which have been reallocated after the end of the reported period.</w:t>
      </w:r>
      <w:r w:rsidRPr="00B1662E">
        <w:rPr>
          <w:rFonts w:ascii="ArialMT" w:hAnsi="ArialMT" w:cs="ArialMT"/>
          <w:color w:val="4F81BD"/>
          <w:szCs w:val="24"/>
        </w:rPr>
        <w:t xml:space="preserve"> </w:t>
      </w:r>
      <w:r w:rsidRPr="00B1662E">
        <w:rPr>
          <w:rFonts w:ascii="ArialMT" w:hAnsi="ArialMT" w:cs="ArialMT"/>
          <w:color w:val="000000"/>
          <w:szCs w:val="24"/>
        </w:rPr>
        <w:t xml:space="preserve"> </w:t>
      </w:r>
    </w:p>
    <w:p w:rsidR="00AE3E1D" w:rsidRDefault="00AE3E1D" w:rsidP="00730387">
      <w:pPr>
        <w:autoSpaceDE w:val="0"/>
        <w:autoSpaceDN w:val="0"/>
        <w:adjustRightInd w:val="0"/>
        <w:rPr>
          <w:rFonts w:ascii="ArialMT" w:hAnsi="ArialMT" w:cs="ArialMT"/>
          <w:szCs w:val="24"/>
          <w:highlight w:val="yellow"/>
        </w:rPr>
      </w:pPr>
    </w:p>
    <w:p w:rsidR="00F638B3" w:rsidRDefault="00F638B3" w:rsidP="00730387">
      <w:pPr>
        <w:autoSpaceDE w:val="0"/>
        <w:autoSpaceDN w:val="0"/>
        <w:adjustRightInd w:val="0"/>
        <w:rPr>
          <w:rFonts w:ascii="ArialMT" w:hAnsi="ArialMT" w:cs="ArialMT"/>
          <w:szCs w:val="24"/>
          <w:highlight w:val="yellow"/>
        </w:rPr>
      </w:pPr>
    </w:p>
    <w:p w:rsidR="00F638B3" w:rsidRPr="00E21C30" w:rsidRDefault="00F638B3" w:rsidP="00730387">
      <w:pPr>
        <w:autoSpaceDE w:val="0"/>
        <w:autoSpaceDN w:val="0"/>
        <w:adjustRightInd w:val="0"/>
        <w:rPr>
          <w:rFonts w:ascii="ArialMT" w:hAnsi="ArialMT" w:cs="ArialMT"/>
          <w:szCs w:val="24"/>
          <w:highlight w:val="yellow"/>
        </w:rPr>
      </w:pPr>
    </w:p>
    <w:p w:rsidR="00730387" w:rsidRPr="00E21C30" w:rsidRDefault="00730387" w:rsidP="00730387">
      <w:pPr>
        <w:autoSpaceDE w:val="0"/>
        <w:autoSpaceDN w:val="0"/>
        <w:adjustRightInd w:val="0"/>
        <w:rPr>
          <w:rFonts w:ascii="ArialMT" w:hAnsi="ArialMT" w:cs="ArialMT"/>
          <w:color w:val="000000"/>
          <w:szCs w:val="24"/>
          <w:highlight w:val="yellow"/>
        </w:rPr>
      </w:pPr>
    </w:p>
    <w:p w:rsidR="00082C92" w:rsidRDefault="00082C92" w:rsidP="00730387">
      <w:pPr>
        <w:rPr>
          <w:rFonts w:ascii="ArialMT" w:hAnsi="ArialMT" w:cs="ArialMT"/>
          <w:color w:val="000000"/>
          <w:szCs w:val="24"/>
          <w:highlight w:val="yellow"/>
        </w:rPr>
      </w:pPr>
    </w:p>
    <w:p w:rsidR="00730387" w:rsidRPr="00E21C30" w:rsidRDefault="00730387" w:rsidP="00730387">
      <w:pPr>
        <w:rPr>
          <w:rFonts w:ascii="ArialMT" w:hAnsi="ArialMT" w:cs="ArialMT"/>
          <w:color w:val="000000"/>
          <w:szCs w:val="24"/>
          <w:highlight w:val="yellow"/>
        </w:rPr>
      </w:pPr>
    </w:p>
    <w:p w:rsidR="00217B40" w:rsidRPr="00B1662E" w:rsidRDefault="00217B40" w:rsidP="00217B40">
      <w:pPr>
        <w:autoSpaceDE w:val="0"/>
        <w:autoSpaceDN w:val="0"/>
        <w:adjustRightInd w:val="0"/>
        <w:rPr>
          <w:rFonts w:ascii="ArialMT" w:hAnsi="ArialMT" w:cs="ArialMT"/>
          <w:color w:val="000000"/>
          <w:szCs w:val="24"/>
        </w:rPr>
      </w:pPr>
      <w:r w:rsidRPr="00B1662E">
        <w:rPr>
          <w:rFonts w:ascii="ArialMT" w:hAnsi="ArialMT" w:cs="ArialMT"/>
          <w:color w:val="000000"/>
          <w:szCs w:val="24"/>
        </w:rPr>
        <w:t>During the year the Fun</w:t>
      </w:r>
      <w:r>
        <w:rPr>
          <w:rFonts w:ascii="ArialMT" w:hAnsi="ArialMT" w:cs="ArialMT"/>
          <w:color w:val="000000"/>
          <w:szCs w:val="24"/>
        </w:rPr>
        <w:t>d</w:t>
      </w:r>
      <w:r w:rsidRPr="00B1662E">
        <w:rPr>
          <w:rFonts w:ascii="ArialMT" w:hAnsi="ArialMT" w:cs="ArialMT"/>
          <w:color w:val="000000"/>
          <w:szCs w:val="24"/>
        </w:rPr>
        <w:t xml:space="preserve"> was cash flow positive, with income from contributions and investments exceeding expenditure on benefits and expenses by £</w:t>
      </w:r>
      <w:r w:rsidR="00ED13B1">
        <w:rPr>
          <w:rFonts w:ascii="ArialMT" w:hAnsi="ArialMT" w:cs="ArialMT"/>
          <w:color w:val="000000"/>
          <w:szCs w:val="24"/>
        </w:rPr>
        <w:t>98.3</w:t>
      </w:r>
      <w:r>
        <w:rPr>
          <w:rFonts w:ascii="ArialMT" w:hAnsi="ArialMT" w:cs="ArialMT"/>
          <w:color w:val="000000"/>
          <w:szCs w:val="24"/>
        </w:rPr>
        <w:t>m but excluding investment income</w:t>
      </w:r>
      <w:r w:rsidR="00667310">
        <w:rPr>
          <w:rFonts w:ascii="ArialMT" w:hAnsi="ArialMT" w:cs="ArialMT"/>
          <w:color w:val="000000"/>
          <w:szCs w:val="24"/>
        </w:rPr>
        <w:t>, and accounting for transfers in,</w:t>
      </w:r>
      <w:r>
        <w:rPr>
          <w:rFonts w:ascii="ArialMT" w:hAnsi="ArialMT" w:cs="ArialMT"/>
          <w:color w:val="000000"/>
          <w:szCs w:val="24"/>
        </w:rPr>
        <w:t xml:space="preserve"> it should be noted that the Fund was cash flow negative (£15</w:t>
      </w:r>
      <w:r w:rsidR="00ED13B1">
        <w:rPr>
          <w:rFonts w:ascii="ArialMT" w:hAnsi="ArialMT" w:cs="ArialMT"/>
          <w:color w:val="000000"/>
          <w:szCs w:val="24"/>
        </w:rPr>
        <w:t>.8</w:t>
      </w:r>
      <w:r>
        <w:rPr>
          <w:rFonts w:ascii="ArialMT" w:hAnsi="ArialMT" w:cs="ArialMT"/>
          <w:color w:val="000000"/>
          <w:szCs w:val="24"/>
        </w:rPr>
        <w:t>m)</w:t>
      </w:r>
      <w:r w:rsidRPr="00B1662E">
        <w:rPr>
          <w:rFonts w:ascii="ArialMT" w:hAnsi="ArialMT" w:cs="ArialMT"/>
          <w:color w:val="000000"/>
          <w:szCs w:val="24"/>
        </w:rPr>
        <w:t>.</w:t>
      </w:r>
    </w:p>
    <w:p w:rsidR="00217B40" w:rsidRPr="00B1662E" w:rsidRDefault="00217B40" w:rsidP="00217B40">
      <w:pPr>
        <w:autoSpaceDE w:val="0"/>
        <w:autoSpaceDN w:val="0"/>
        <w:adjustRightInd w:val="0"/>
        <w:rPr>
          <w:rFonts w:ascii="ArialMT" w:hAnsi="ArialMT" w:cs="ArialMT"/>
          <w:color w:val="000000"/>
          <w:szCs w:val="24"/>
        </w:rPr>
      </w:pPr>
      <w:r w:rsidRPr="00B1662E">
        <w:rPr>
          <w:rFonts w:ascii="ArialMT" w:hAnsi="ArialMT" w:cs="ArialMT"/>
          <w:color w:val="4F81BD"/>
          <w:szCs w:val="24"/>
        </w:rPr>
        <w:t xml:space="preserve"> </w:t>
      </w:r>
    </w:p>
    <w:p w:rsidR="00217B40" w:rsidRPr="00B1662E" w:rsidRDefault="00217B40" w:rsidP="00217B40">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The </w:t>
      </w:r>
      <w:r>
        <w:rPr>
          <w:rFonts w:ascii="ArialMT" w:hAnsi="ArialMT" w:cs="ArialMT"/>
          <w:color w:val="000000"/>
          <w:szCs w:val="24"/>
        </w:rPr>
        <w:t>on going implementation of the Fund's investment strategy</w:t>
      </w:r>
      <w:r w:rsidRPr="00B1662E">
        <w:rPr>
          <w:rFonts w:ascii="ArialMT" w:hAnsi="ArialMT" w:cs="ArialMT"/>
          <w:color w:val="000000"/>
          <w:szCs w:val="24"/>
        </w:rPr>
        <w:t xml:space="preserve"> together with improvements in governance</w:t>
      </w:r>
      <w:r>
        <w:rPr>
          <w:rFonts w:ascii="ArialMT" w:hAnsi="ArialMT" w:cs="ArialMT"/>
          <w:color w:val="000000"/>
          <w:szCs w:val="24"/>
        </w:rPr>
        <w:t>,</w:t>
      </w:r>
      <w:r w:rsidRPr="00B1662E">
        <w:rPr>
          <w:rFonts w:ascii="ArialMT" w:hAnsi="ArialMT" w:cs="ArialMT"/>
          <w:color w:val="000000"/>
          <w:szCs w:val="24"/>
        </w:rPr>
        <w:t xml:space="preserve"> place the Fund in a </w:t>
      </w:r>
      <w:r>
        <w:rPr>
          <w:rFonts w:ascii="ArialMT" w:hAnsi="ArialMT" w:cs="ArialMT"/>
          <w:color w:val="000000"/>
          <w:szCs w:val="24"/>
        </w:rPr>
        <w:t>strong</w:t>
      </w:r>
      <w:r w:rsidRPr="00B1662E">
        <w:rPr>
          <w:rFonts w:ascii="ArialMT" w:hAnsi="ArialMT" w:cs="ArialMT"/>
          <w:color w:val="000000"/>
          <w:szCs w:val="24"/>
        </w:rPr>
        <w:t xml:space="preserve"> position to deal w</w:t>
      </w:r>
      <w:r>
        <w:rPr>
          <w:rFonts w:ascii="ArialMT" w:hAnsi="ArialMT" w:cs="ArialMT"/>
          <w:color w:val="000000"/>
          <w:szCs w:val="24"/>
        </w:rPr>
        <w:t>ith developments in global risk</w:t>
      </w:r>
      <w:r w:rsidRPr="00B1662E">
        <w:rPr>
          <w:rFonts w:ascii="ArialMT" w:hAnsi="ArialMT" w:cs="ArialMT"/>
          <w:color w:val="000000"/>
          <w:szCs w:val="24"/>
        </w:rPr>
        <w:t>, the international regulatory framework and the future o</w:t>
      </w:r>
      <w:r>
        <w:rPr>
          <w:rFonts w:ascii="ArialMT" w:hAnsi="ArialMT" w:cs="ArialMT"/>
          <w:color w:val="000000"/>
          <w:szCs w:val="24"/>
        </w:rPr>
        <w:t xml:space="preserve">f structure pensions in general. </w:t>
      </w:r>
      <w:r w:rsidRPr="00B1662E">
        <w:rPr>
          <w:rFonts w:ascii="ArialMT" w:hAnsi="ArialMT" w:cs="ArialMT"/>
          <w:color w:val="000000"/>
          <w:szCs w:val="24"/>
        </w:rPr>
        <w:t xml:space="preserve">  </w:t>
      </w:r>
    </w:p>
    <w:p w:rsidR="00217B40" w:rsidRPr="00B1662E" w:rsidRDefault="00217B40" w:rsidP="00217B40">
      <w:pPr>
        <w:autoSpaceDE w:val="0"/>
        <w:autoSpaceDN w:val="0"/>
        <w:adjustRightInd w:val="0"/>
        <w:rPr>
          <w:rFonts w:ascii="ArialMT" w:hAnsi="ArialMT" w:cs="ArialMT"/>
          <w:color w:val="000000"/>
          <w:szCs w:val="24"/>
        </w:rPr>
      </w:pPr>
    </w:p>
    <w:p w:rsidR="00217B40" w:rsidRDefault="00217B40" w:rsidP="00217B40">
      <w:pPr>
        <w:autoSpaceDE w:val="0"/>
        <w:autoSpaceDN w:val="0"/>
        <w:adjustRightInd w:val="0"/>
        <w:rPr>
          <w:rFonts w:ascii="ArialMT" w:hAnsi="ArialMT" w:cs="ArialMT"/>
          <w:color w:val="000000"/>
          <w:szCs w:val="24"/>
        </w:rPr>
      </w:pPr>
      <w:r w:rsidRPr="00B1662E">
        <w:rPr>
          <w:rFonts w:ascii="ArialMT" w:hAnsi="ArialMT" w:cs="ArialMT"/>
          <w:color w:val="000000"/>
          <w:szCs w:val="24"/>
        </w:rPr>
        <w:t xml:space="preserve">Capital for long term investment </w:t>
      </w:r>
      <w:r>
        <w:rPr>
          <w:rFonts w:ascii="ArialMT" w:hAnsi="ArialMT" w:cs="ArialMT"/>
          <w:color w:val="000000"/>
          <w:szCs w:val="24"/>
        </w:rPr>
        <w:t>remains scarce</w:t>
      </w:r>
      <w:r w:rsidRPr="00B1662E">
        <w:rPr>
          <w:rFonts w:ascii="ArialMT" w:hAnsi="ArialMT" w:cs="ArialMT"/>
          <w:color w:val="000000"/>
          <w:szCs w:val="24"/>
        </w:rPr>
        <w:t xml:space="preserve"> </w:t>
      </w:r>
      <w:r>
        <w:rPr>
          <w:rFonts w:ascii="ArialMT" w:hAnsi="ArialMT" w:cs="ArialMT"/>
          <w:color w:val="000000"/>
          <w:szCs w:val="24"/>
        </w:rPr>
        <w:t xml:space="preserve">in light of the effects of forthcoming regulation for the banking (Basle 3) and insurance (Solvency 2) sectors, </w:t>
      </w:r>
      <w:r w:rsidRPr="00B1662E">
        <w:rPr>
          <w:rFonts w:ascii="ArialMT" w:hAnsi="ArialMT" w:cs="ArialMT"/>
          <w:color w:val="000000"/>
          <w:szCs w:val="24"/>
        </w:rPr>
        <w:t>leaving</w:t>
      </w:r>
      <w:r>
        <w:rPr>
          <w:rFonts w:ascii="ArialMT" w:hAnsi="ArialMT" w:cs="ArialMT"/>
          <w:color w:val="000000"/>
          <w:szCs w:val="24"/>
        </w:rPr>
        <w:t xml:space="preserve"> open defined benefit P</w:t>
      </w:r>
      <w:r w:rsidRPr="00B1662E">
        <w:rPr>
          <w:rFonts w:ascii="ArialMT" w:hAnsi="ArialMT" w:cs="ArialMT"/>
          <w:color w:val="000000"/>
          <w:szCs w:val="24"/>
        </w:rPr>
        <w:t>ension Funds in a strong position to positively address the goals of full funding and sustainable co</w:t>
      </w:r>
      <w:r>
        <w:rPr>
          <w:rFonts w:ascii="ArialMT" w:hAnsi="ArialMT" w:cs="ArialMT"/>
          <w:color w:val="000000"/>
          <w:szCs w:val="24"/>
        </w:rPr>
        <w:t xml:space="preserve">st.  The challenges for the future remain risk </w:t>
      </w:r>
      <w:r w:rsidRPr="00B1662E">
        <w:rPr>
          <w:rFonts w:ascii="ArialMT" w:hAnsi="ArialMT" w:cs="ArialMT"/>
          <w:color w:val="000000"/>
          <w:szCs w:val="24"/>
        </w:rPr>
        <w:t>mana</w:t>
      </w:r>
      <w:r>
        <w:rPr>
          <w:rFonts w:ascii="ArialMT" w:hAnsi="ArialMT" w:cs="ArialMT"/>
          <w:color w:val="000000"/>
          <w:szCs w:val="24"/>
        </w:rPr>
        <w:t>gement and judicial diversified asset allocation.</w:t>
      </w:r>
    </w:p>
    <w:p w:rsidR="00217B40" w:rsidRDefault="00217B40" w:rsidP="00217B40">
      <w:pPr>
        <w:autoSpaceDE w:val="0"/>
        <w:autoSpaceDN w:val="0"/>
        <w:adjustRightInd w:val="0"/>
        <w:rPr>
          <w:rFonts w:ascii="ArialMT" w:hAnsi="ArialMT" w:cs="ArialMT"/>
          <w:color w:val="000000"/>
          <w:szCs w:val="24"/>
        </w:rPr>
      </w:pPr>
    </w:p>
    <w:p w:rsidR="00217B40" w:rsidRPr="00B1662E" w:rsidRDefault="00217B40" w:rsidP="00217B40">
      <w:pPr>
        <w:autoSpaceDE w:val="0"/>
        <w:autoSpaceDN w:val="0"/>
        <w:adjustRightInd w:val="0"/>
        <w:rPr>
          <w:rFonts w:ascii="ArialMT" w:hAnsi="ArialMT" w:cs="ArialMT"/>
          <w:color w:val="000000"/>
          <w:szCs w:val="24"/>
        </w:rPr>
      </w:pPr>
      <w:r>
        <w:rPr>
          <w:rFonts w:ascii="ArialMT" w:hAnsi="ArialMT" w:cs="ArialMT"/>
          <w:color w:val="000000"/>
          <w:szCs w:val="24"/>
        </w:rPr>
        <w:t>The Fund was nominated for the CIO "European Public Sector Fund of the Year" award and received the "</w:t>
      </w:r>
      <w:r w:rsidRPr="008A636A">
        <w:rPr>
          <w:szCs w:val="24"/>
        </w:rPr>
        <w:t>R</w:t>
      </w:r>
      <w:r>
        <w:rPr>
          <w:szCs w:val="24"/>
        </w:rPr>
        <w:t>enewable</w:t>
      </w:r>
      <w:r w:rsidRPr="008A636A">
        <w:rPr>
          <w:szCs w:val="24"/>
        </w:rPr>
        <w:t xml:space="preserve"> E</w:t>
      </w:r>
      <w:r>
        <w:rPr>
          <w:szCs w:val="24"/>
        </w:rPr>
        <w:t>nergy</w:t>
      </w:r>
      <w:r w:rsidRPr="008A636A">
        <w:rPr>
          <w:szCs w:val="24"/>
        </w:rPr>
        <w:t xml:space="preserve"> A</w:t>
      </w:r>
      <w:r>
        <w:rPr>
          <w:szCs w:val="24"/>
        </w:rPr>
        <w:t xml:space="preserve">ssociation </w:t>
      </w:r>
      <w:r w:rsidRPr="008A636A">
        <w:rPr>
          <w:szCs w:val="24"/>
        </w:rPr>
        <w:t>P</w:t>
      </w:r>
      <w:r>
        <w:rPr>
          <w:szCs w:val="24"/>
        </w:rPr>
        <w:t>ioneer</w:t>
      </w:r>
      <w:r w:rsidRPr="008A636A">
        <w:rPr>
          <w:szCs w:val="24"/>
        </w:rPr>
        <w:t xml:space="preserve"> A</w:t>
      </w:r>
      <w:r>
        <w:rPr>
          <w:szCs w:val="24"/>
        </w:rPr>
        <w:t>ward</w:t>
      </w:r>
      <w:r w:rsidRPr="008A636A">
        <w:rPr>
          <w:szCs w:val="24"/>
        </w:rPr>
        <w:t>"</w:t>
      </w:r>
      <w:r>
        <w:rPr>
          <w:szCs w:val="24"/>
        </w:rPr>
        <w:t xml:space="preserve"> for its activity in </w:t>
      </w:r>
      <w:proofErr w:type="gramStart"/>
      <w:r>
        <w:rPr>
          <w:szCs w:val="24"/>
        </w:rPr>
        <w:t>Solar</w:t>
      </w:r>
      <w:proofErr w:type="gramEnd"/>
      <w:r>
        <w:rPr>
          <w:szCs w:val="24"/>
        </w:rPr>
        <w:t xml:space="preserve"> energy financing.</w:t>
      </w:r>
    </w:p>
    <w:p w:rsidR="00730387" w:rsidRPr="00E21C30" w:rsidRDefault="00730387" w:rsidP="00730387">
      <w:pPr>
        <w:rPr>
          <w:rFonts w:ascii="ArialMT" w:hAnsi="ArialMT" w:cs="ArialMT"/>
          <w:color w:val="000000"/>
          <w:szCs w:val="24"/>
          <w:highlight w:val="yellow"/>
        </w:rPr>
      </w:pPr>
    </w:p>
    <w:p w:rsidR="00730387" w:rsidRPr="00E21C30" w:rsidRDefault="00730387" w:rsidP="00730387">
      <w:pPr>
        <w:rPr>
          <w:rFonts w:ascii="ArialMT" w:hAnsi="ArialMT" w:cs="ArialMT"/>
          <w:color w:val="000000"/>
          <w:szCs w:val="24"/>
          <w:highlight w:val="yellow"/>
        </w:rPr>
      </w:pPr>
    </w:p>
    <w:p w:rsidR="00730387" w:rsidRDefault="00730387" w:rsidP="00730387">
      <w:pPr>
        <w:rPr>
          <w:rFonts w:ascii="ArialMT" w:hAnsi="ArialMT" w:cs="ArialMT"/>
          <w:color w:val="000000"/>
          <w:szCs w:val="24"/>
          <w:highlight w:val="yellow"/>
        </w:rPr>
      </w:pPr>
    </w:p>
    <w:p w:rsidR="00F638B3" w:rsidRDefault="00F638B3" w:rsidP="00730387">
      <w:pPr>
        <w:rPr>
          <w:rFonts w:ascii="ArialMT" w:hAnsi="ArialMT" w:cs="ArialMT"/>
          <w:color w:val="000000"/>
          <w:szCs w:val="24"/>
          <w:highlight w:val="yellow"/>
        </w:rPr>
      </w:pPr>
    </w:p>
    <w:p w:rsidR="00217B40" w:rsidRPr="00E21C30" w:rsidRDefault="00217B40" w:rsidP="00730387">
      <w:pPr>
        <w:rPr>
          <w:rFonts w:ascii="ArialMT" w:hAnsi="ArialMT" w:cs="ArialMT"/>
          <w:color w:val="000000"/>
          <w:szCs w:val="24"/>
          <w:highlight w:val="yellow"/>
        </w:rPr>
      </w:pPr>
    </w:p>
    <w:p w:rsidR="00730387" w:rsidRPr="00E21C30" w:rsidRDefault="00730387" w:rsidP="00730387">
      <w:pPr>
        <w:rPr>
          <w:rFonts w:ascii="ArialMT" w:hAnsi="ArialMT" w:cs="ArialMT"/>
          <w:color w:val="000000"/>
          <w:szCs w:val="24"/>
          <w:highlight w:val="yellow"/>
        </w:rPr>
      </w:pPr>
    </w:p>
    <w:p w:rsidR="00730387" w:rsidRPr="00E21C30" w:rsidRDefault="00730387" w:rsidP="00730387">
      <w:pPr>
        <w:rPr>
          <w:rFonts w:ascii="ArialMT" w:hAnsi="ArialMT" w:cs="ArialMT"/>
          <w:color w:val="000000"/>
          <w:szCs w:val="24"/>
          <w:highlight w:val="yellow"/>
        </w:rPr>
      </w:pPr>
    </w:p>
    <w:tbl>
      <w:tblPr>
        <w:tblW w:w="0" w:type="auto"/>
        <w:tblLook w:val="04A0"/>
      </w:tblPr>
      <w:tblGrid>
        <w:gridCol w:w="4928"/>
        <w:gridCol w:w="4925"/>
      </w:tblGrid>
      <w:tr w:rsidR="00730387" w:rsidRPr="00E21C30" w:rsidTr="00F533C3">
        <w:tc>
          <w:tcPr>
            <w:tcW w:w="4928" w:type="dxa"/>
          </w:tcPr>
          <w:p w:rsidR="00730387" w:rsidRPr="00217B40" w:rsidRDefault="00174BE9" w:rsidP="007F5205">
            <w:pPr>
              <w:autoSpaceDE w:val="0"/>
              <w:autoSpaceDN w:val="0"/>
              <w:adjustRightInd w:val="0"/>
              <w:rPr>
                <w:rFonts w:ascii="ArialMT" w:hAnsi="ArialMT" w:cs="ArialMT"/>
                <w:color w:val="000000"/>
                <w:szCs w:val="24"/>
              </w:rPr>
            </w:pPr>
            <w:r>
              <w:rPr>
                <w:rFonts w:ascii="ArialMT" w:hAnsi="ArialMT" w:cs="ArialMT"/>
                <w:color w:val="000000"/>
                <w:szCs w:val="24"/>
              </w:rPr>
              <w:t>C</w:t>
            </w:r>
            <w:r w:rsidR="007F5205">
              <w:rPr>
                <w:rFonts w:ascii="ArialMT" w:hAnsi="ArialMT" w:cs="ArialMT"/>
                <w:color w:val="000000"/>
                <w:szCs w:val="24"/>
              </w:rPr>
              <w:t xml:space="preserve">ounty Councillor </w:t>
            </w:r>
            <w:r w:rsidR="00670114" w:rsidRPr="00670114">
              <w:rPr>
                <w:rFonts w:ascii="ArialMT" w:hAnsi="ArialMT" w:cs="ArialMT"/>
                <w:color w:val="000000"/>
                <w:szCs w:val="24"/>
              </w:rPr>
              <w:t>T Burns</w:t>
            </w:r>
            <w:r w:rsidR="00D545F4">
              <w:rPr>
                <w:rFonts w:ascii="ArialMT" w:hAnsi="ArialMT" w:cs="ArialMT"/>
                <w:color w:val="000000"/>
                <w:szCs w:val="24"/>
              </w:rPr>
              <w:tab/>
            </w:r>
          </w:p>
        </w:tc>
        <w:tc>
          <w:tcPr>
            <w:tcW w:w="4925" w:type="dxa"/>
          </w:tcPr>
          <w:p w:rsidR="00730387" w:rsidRPr="00217B40"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G Kilpatrick CPFA</w:t>
            </w:r>
          </w:p>
        </w:tc>
      </w:tr>
      <w:tr w:rsidR="00730387" w:rsidRPr="007C157F" w:rsidTr="00F533C3">
        <w:tc>
          <w:tcPr>
            <w:tcW w:w="4928" w:type="dxa"/>
          </w:tcPr>
          <w:p w:rsidR="00730387" w:rsidRPr="00217B40"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 xml:space="preserve">Chair </w:t>
            </w:r>
            <w:r w:rsidR="00ED13B1">
              <w:rPr>
                <w:rFonts w:ascii="ArialMT" w:hAnsi="ArialMT" w:cs="ArialMT"/>
                <w:color w:val="000000"/>
                <w:szCs w:val="24"/>
              </w:rPr>
              <w:t xml:space="preserve"> </w:t>
            </w:r>
            <w:r>
              <w:rPr>
                <w:rFonts w:ascii="ArialMT" w:hAnsi="ArialMT" w:cs="ArialMT"/>
                <w:color w:val="000000"/>
                <w:szCs w:val="24"/>
              </w:rPr>
              <w:t>of the Pension Fund Committee</w:t>
            </w:r>
          </w:p>
          <w:p w:rsidR="00730387" w:rsidRPr="00217B40" w:rsidRDefault="00730387" w:rsidP="00F533C3">
            <w:pPr>
              <w:autoSpaceDE w:val="0"/>
              <w:autoSpaceDN w:val="0"/>
              <w:adjustRightInd w:val="0"/>
              <w:rPr>
                <w:rFonts w:ascii="ArialMT" w:hAnsi="ArialMT" w:cs="ArialMT"/>
                <w:color w:val="000000"/>
                <w:szCs w:val="24"/>
              </w:rPr>
            </w:pPr>
          </w:p>
        </w:tc>
        <w:tc>
          <w:tcPr>
            <w:tcW w:w="4925" w:type="dxa"/>
          </w:tcPr>
          <w:p w:rsidR="00730387" w:rsidRPr="00217B40" w:rsidRDefault="00D545F4" w:rsidP="00F533C3">
            <w:pPr>
              <w:autoSpaceDE w:val="0"/>
              <w:autoSpaceDN w:val="0"/>
              <w:adjustRightInd w:val="0"/>
              <w:rPr>
                <w:rFonts w:ascii="ArialMT" w:hAnsi="ArialMT" w:cs="ArialMT"/>
                <w:color w:val="000000"/>
                <w:szCs w:val="24"/>
              </w:rPr>
            </w:pPr>
            <w:r>
              <w:rPr>
                <w:rFonts w:ascii="ArialMT" w:hAnsi="ArialMT" w:cs="ArialMT"/>
                <w:color w:val="000000"/>
                <w:szCs w:val="24"/>
              </w:rPr>
              <w:t>County Treasurer and Treasurer to the Lancashire County Pension Fund</w:t>
            </w:r>
          </w:p>
        </w:tc>
      </w:tr>
    </w:tbl>
    <w:p w:rsidR="00642CDA" w:rsidRPr="00D14D29" w:rsidRDefault="00642CDA" w:rsidP="00642CDA">
      <w:pPr>
        <w:rPr>
          <w:rFonts w:ascii="ArialMT" w:hAnsi="ArialMT" w:cs="ArialMT"/>
          <w:color w:val="000000"/>
          <w:szCs w:val="24"/>
          <w:highlight w:val="yellow"/>
        </w:rPr>
      </w:pPr>
    </w:p>
    <w:p w:rsidR="00583F69" w:rsidRPr="00D14D29" w:rsidRDefault="00583F69" w:rsidP="00642CDA">
      <w:pPr>
        <w:rPr>
          <w:rFonts w:ascii="ArialMT" w:hAnsi="ArialMT" w:cs="ArialMT"/>
          <w:color w:val="000000"/>
          <w:szCs w:val="24"/>
          <w:highlight w:val="yellow"/>
        </w:rPr>
      </w:pPr>
    </w:p>
    <w:p w:rsidR="00880512" w:rsidRPr="00D14D29" w:rsidRDefault="00880512" w:rsidP="00642CDA">
      <w:pPr>
        <w:rPr>
          <w:rFonts w:ascii="ArialMT" w:hAnsi="ArialMT" w:cs="ArialMT"/>
          <w:color w:val="000000"/>
          <w:szCs w:val="24"/>
          <w:highlight w:val="yellow"/>
        </w:rPr>
      </w:pPr>
    </w:p>
    <w:p w:rsidR="00880512" w:rsidRPr="00D14D29" w:rsidRDefault="00880512" w:rsidP="00642CDA">
      <w:pPr>
        <w:rPr>
          <w:rFonts w:ascii="ArialMT" w:hAnsi="ArialMT" w:cs="ArialMT"/>
          <w:color w:val="000000"/>
          <w:szCs w:val="24"/>
          <w:highlight w:val="yellow"/>
        </w:rPr>
      </w:pPr>
    </w:p>
    <w:tbl>
      <w:tblPr>
        <w:tblW w:w="0" w:type="auto"/>
        <w:tblLook w:val="04A0"/>
      </w:tblPr>
      <w:tblGrid>
        <w:gridCol w:w="4928"/>
        <w:gridCol w:w="4925"/>
      </w:tblGrid>
      <w:tr w:rsidR="00993012" w:rsidRPr="00D14D29" w:rsidTr="007C157F">
        <w:tc>
          <w:tcPr>
            <w:tcW w:w="4928" w:type="dxa"/>
          </w:tcPr>
          <w:p w:rsidR="00993012" w:rsidRPr="00D14D29" w:rsidRDefault="00993012" w:rsidP="00583F69">
            <w:pPr>
              <w:autoSpaceDE w:val="0"/>
              <w:autoSpaceDN w:val="0"/>
              <w:adjustRightInd w:val="0"/>
              <w:rPr>
                <w:rFonts w:ascii="ArialMT" w:hAnsi="ArialMT" w:cs="ArialMT"/>
                <w:color w:val="000000"/>
                <w:szCs w:val="24"/>
                <w:highlight w:val="yellow"/>
              </w:rPr>
            </w:pPr>
          </w:p>
        </w:tc>
        <w:tc>
          <w:tcPr>
            <w:tcW w:w="4925" w:type="dxa"/>
          </w:tcPr>
          <w:p w:rsidR="00993012" w:rsidRPr="00D14D29" w:rsidRDefault="00993012" w:rsidP="008C548A">
            <w:pPr>
              <w:autoSpaceDE w:val="0"/>
              <w:autoSpaceDN w:val="0"/>
              <w:adjustRightInd w:val="0"/>
              <w:rPr>
                <w:rFonts w:ascii="ArialMT" w:hAnsi="ArialMT" w:cs="ArialMT"/>
                <w:color w:val="000000"/>
                <w:szCs w:val="24"/>
                <w:highlight w:val="yellow"/>
              </w:rPr>
            </w:pPr>
          </w:p>
        </w:tc>
      </w:tr>
      <w:tr w:rsidR="00993012" w:rsidRPr="007C157F" w:rsidTr="007C157F">
        <w:tc>
          <w:tcPr>
            <w:tcW w:w="4928" w:type="dxa"/>
          </w:tcPr>
          <w:p w:rsidR="00993012" w:rsidRPr="00D14D29" w:rsidRDefault="00993012" w:rsidP="007C157F">
            <w:pPr>
              <w:autoSpaceDE w:val="0"/>
              <w:autoSpaceDN w:val="0"/>
              <w:adjustRightInd w:val="0"/>
              <w:rPr>
                <w:rFonts w:ascii="ArialMT" w:hAnsi="ArialMT" w:cs="ArialMT"/>
                <w:color w:val="000000"/>
                <w:szCs w:val="24"/>
                <w:highlight w:val="yellow"/>
              </w:rPr>
            </w:pPr>
          </w:p>
        </w:tc>
        <w:tc>
          <w:tcPr>
            <w:tcW w:w="4925" w:type="dxa"/>
          </w:tcPr>
          <w:p w:rsidR="00993012" w:rsidRPr="008C548A" w:rsidRDefault="00993012" w:rsidP="007C157F">
            <w:pPr>
              <w:autoSpaceDE w:val="0"/>
              <w:autoSpaceDN w:val="0"/>
              <w:adjustRightInd w:val="0"/>
              <w:rPr>
                <w:rFonts w:ascii="ArialMT" w:hAnsi="ArialMT" w:cs="ArialMT"/>
                <w:color w:val="000000"/>
                <w:szCs w:val="24"/>
              </w:rPr>
            </w:pPr>
          </w:p>
        </w:tc>
      </w:tr>
    </w:tbl>
    <w:p w:rsidR="00897DBF" w:rsidRDefault="00561559">
      <w:pPr>
        <w:pStyle w:val="Heading1"/>
        <w:spacing w:before="0" w:after="0"/>
        <w:ind w:left="360"/>
        <w:rPr>
          <w:b w:val="0"/>
          <w:kern w:val="0"/>
          <w:sz w:val="24"/>
          <w:lang w:eastAsia="en-US"/>
        </w:rPr>
      </w:pPr>
      <w:r>
        <w:rPr>
          <w:snapToGrid w:val="0"/>
          <w:color w:val="000000"/>
          <w:kern w:val="0"/>
          <w:lang w:eastAsia="en-US"/>
        </w:rPr>
        <w:br w:type="page"/>
      </w:r>
    </w:p>
    <w:p w:rsidR="00897DBF" w:rsidRDefault="00561559">
      <w:pPr>
        <w:pStyle w:val="Heading1"/>
        <w:numPr>
          <w:ilvl w:val="0"/>
          <w:numId w:val="59"/>
        </w:numPr>
        <w:spacing w:before="0" w:after="0"/>
        <w:rPr>
          <w:snapToGrid w:val="0"/>
          <w:color w:val="000000"/>
          <w:kern w:val="0"/>
          <w:lang w:eastAsia="en-US"/>
        </w:rPr>
      </w:pPr>
      <w:r>
        <w:rPr>
          <w:snapToGrid w:val="0"/>
          <w:color w:val="000000"/>
          <w:kern w:val="0"/>
          <w:lang w:eastAsia="en-US"/>
        </w:rPr>
        <w:t>Governance of the Fund</w:t>
      </w:r>
    </w:p>
    <w:p w:rsidR="00BA1C2E" w:rsidRPr="00D90DA1" w:rsidRDefault="00BA1C2E" w:rsidP="00BA1C2E">
      <w:pPr>
        <w:rPr>
          <w:lang w:eastAsia="en-US"/>
        </w:rPr>
      </w:pPr>
    </w:p>
    <w:p w:rsidR="00D90DA1" w:rsidRPr="006D50A4" w:rsidRDefault="00D90DA1" w:rsidP="00D90DA1">
      <w:pPr>
        <w:rPr>
          <w:lang w:eastAsia="en-US"/>
        </w:rPr>
      </w:pPr>
      <w:r w:rsidRPr="006D50A4">
        <w:rPr>
          <w:lang w:eastAsia="en-US"/>
        </w:rPr>
        <w:t xml:space="preserve">The Pension Fund Committee has considered the governance arrangements relating to the administration and investments of the Fund in the light of guidance issued by the Department for Communities and Local Government (DCLG) regarding the requirement to complete a Governance Compliance Statement, established for all areas of governance of pension fund activities.  </w:t>
      </w:r>
    </w:p>
    <w:p w:rsidR="00D90DA1" w:rsidRPr="006D50A4" w:rsidRDefault="00D90DA1" w:rsidP="00D90DA1">
      <w:pPr>
        <w:rPr>
          <w:lang w:eastAsia="en-US"/>
        </w:rPr>
      </w:pPr>
    </w:p>
    <w:p w:rsidR="00D90DA1" w:rsidRPr="005262FF" w:rsidRDefault="00D90DA1" w:rsidP="00D90DA1">
      <w:pPr>
        <w:rPr>
          <w:rFonts w:cs="Arial"/>
        </w:rPr>
      </w:pPr>
      <w:r w:rsidRPr="005262FF">
        <w:rPr>
          <w:lang w:eastAsia="en-US"/>
        </w:rPr>
        <w:t>Comprehensive terms of reference have been established for all areas of governance of pension fund activities including the Pension Fund Committee, the Investment Panel, the Administration Panel and issues delegated to the Treasurer to the Fund.  These can be found in the Fund’s Governance Policy Statement</w:t>
      </w:r>
      <w:r>
        <w:rPr>
          <w:rFonts w:cs="Arial"/>
        </w:rPr>
        <w:t>.</w:t>
      </w:r>
      <w:r w:rsidR="00083800">
        <w:rPr>
          <w:rFonts w:cs="Arial"/>
        </w:rPr>
        <w:t xml:space="preserve"> </w:t>
      </w:r>
      <w:hyperlink r:id="rId9" w:history="1">
        <w:r w:rsidR="00670114">
          <w:rPr>
            <w:rStyle w:val="Hyperlink"/>
            <w:rFonts w:cs="Arial"/>
          </w:rPr>
          <w:t>Governance</w:t>
        </w:r>
        <w:r w:rsidR="00374A5B" w:rsidRPr="00374A5B">
          <w:rPr>
            <w:rStyle w:val="Hyperlink"/>
            <w:rFonts w:cs="Arial"/>
          </w:rPr>
          <w:t xml:space="preserve"> Policy Statement</w:t>
        </w:r>
      </w:hyperlink>
    </w:p>
    <w:p w:rsidR="00F22D07" w:rsidRPr="00E21C30" w:rsidRDefault="00F22D07" w:rsidP="00BA1C2E">
      <w:pPr>
        <w:rPr>
          <w:highlight w:val="yellow"/>
          <w:lang w:eastAsia="en-US"/>
        </w:rPr>
      </w:pPr>
    </w:p>
    <w:p w:rsidR="00E05C4F" w:rsidRPr="00E21C30" w:rsidRDefault="00E05C4F" w:rsidP="00BA1C2E">
      <w:pPr>
        <w:rPr>
          <w:highlight w:val="yellow"/>
          <w:lang w:eastAsia="en-US"/>
        </w:rPr>
      </w:pPr>
    </w:p>
    <w:p w:rsidR="00F22D07" w:rsidRPr="00D90DA1" w:rsidRDefault="00670114" w:rsidP="00BA1C2E">
      <w:pPr>
        <w:rPr>
          <w:lang w:eastAsia="en-US"/>
        </w:rPr>
      </w:pPr>
      <w:r w:rsidRPr="00670114">
        <w:rPr>
          <w:lang w:eastAsia="en-US"/>
        </w:rPr>
        <w:t>The Fund’s Governance Compliance Statement is shown below reporting compliance with guidance given by the Secretary of State.</w:t>
      </w:r>
    </w:p>
    <w:p w:rsidR="00F22D07" w:rsidRPr="00E21C30" w:rsidRDefault="00F22D07" w:rsidP="00BA1C2E">
      <w:pPr>
        <w:rPr>
          <w:highlight w:val="yellow"/>
          <w:lang w:eastAsia="en-US"/>
        </w:rPr>
      </w:pPr>
    </w:p>
    <w:p w:rsidR="00817DB0" w:rsidRPr="00D90DA1" w:rsidRDefault="00670114" w:rsidP="00817DB0">
      <w:pPr>
        <w:rPr>
          <w:rFonts w:cs="Arial"/>
          <w:b/>
        </w:rPr>
      </w:pPr>
      <w:r w:rsidRPr="00670114">
        <w:rPr>
          <w:rFonts w:cs="Arial"/>
          <w:b/>
        </w:rPr>
        <w:t>LANCASHIRE COUNTY PENSION FUND GOVERNANCE COMPLIANCE STATEMENT:</w:t>
      </w:r>
    </w:p>
    <w:p w:rsidR="00817DB0" w:rsidRPr="00D90DA1" w:rsidRDefault="00817DB0" w:rsidP="00817DB0">
      <w:pPr>
        <w:rPr>
          <w:rFonts w:cs="Arial"/>
          <w:b/>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01"/>
        <w:gridCol w:w="6663"/>
        <w:gridCol w:w="2268"/>
      </w:tblGrid>
      <w:tr w:rsidR="00D90DA1" w:rsidRPr="00E21C30" w:rsidTr="00957544">
        <w:trPr>
          <w:trHeight w:val="491"/>
        </w:trPr>
        <w:tc>
          <w:tcPr>
            <w:tcW w:w="1701" w:type="dxa"/>
            <w:vAlign w:val="center"/>
          </w:tcPr>
          <w:p w:rsidR="00D90DA1" w:rsidRPr="00D90DA1" w:rsidRDefault="00670114" w:rsidP="00F22D07">
            <w:pPr>
              <w:rPr>
                <w:rFonts w:cs="Arial"/>
                <w:b/>
              </w:rPr>
            </w:pPr>
            <w:r w:rsidRPr="00670114">
              <w:rPr>
                <w:rFonts w:cs="Arial"/>
                <w:b/>
              </w:rPr>
              <w:t>Principle</w:t>
            </w:r>
          </w:p>
        </w:tc>
        <w:tc>
          <w:tcPr>
            <w:tcW w:w="6663" w:type="dxa"/>
            <w:vAlign w:val="center"/>
          </w:tcPr>
          <w:p w:rsidR="00D90DA1" w:rsidRPr="00D90DA1" w:rsidRDefault="00D90DA1" w:rsidP="00F22D07">
            <w:pPr>
              <w:rPr>
                <w:rFonts w:cs="Arial"/>
                <w:b/>
              </w:rPr>
            </w:pPr>
          </w:p>
        </w:tc>
        <w:tc>
          <w:tcPr>
            <w:tcW w:w="2268" w:type="dxa"/>
            <w:vAlign w:val="center"/>
          </w:tcPr>
          <w:p w:rsidR="00D90DA1" w:rsidRPr="00E21C30" w:rsidRDefault="00D90DA1" w:rsidP="00F22D07">
            <w:pPr>
              <w:rPr>
                <w:rFonts w:cs="Arial"/>
                <w:b/>
                <w:highlight w:val="yellow"/>
              </w:rPr>
            </w:pPr>
            <w:r w:rsidRPr="005A04CB">
              <w:rPr>
                <w:rFonts w:cs="Arial"/>
                <w:b/>
              </w:rPr>
              <w:t>Full Compliance</w:t>
            </w:r>
          </w:p>
        </w:tc>
      </w:tr>
      <w:tr w:rsidR="00D90DA1" w:rsidRPr="00E21C30" w:rsidTr="00957544">
        <w:tc>
          <w:tcPr>
            <w:tcW w:w="1701" w:type="dxa"/>
          </w:tcPr>
          <w:p w:rsidR="00D90DA1" w:rsidRPr="00D90DA1" w:rsidRDefault="00D90DA1" w:rsidP="0009677B">
            <w:pPr>
              <w:rPr>
                <w:rFonts w:cs="Arial"/>
                <w:b/>
              </w:rPr>
            </w:pPr>
          </w:p>
          <w:p w:rsidR="004E3B4B" w:rsidRDefault="00670114" w:rsidP="0009677B">
            <w:pPr>
              <w:rPr>
                <w:rFonts w:cs="Arial"/>
                <w:b/>
              </w:rPr>
            </w:pPr>
            <w:r w:rsidRPr="00670114">
              <w:rPr>
                <w:rFonts w:cs="Arial"/>
                <w:b/>
              </w:rPr>
              <w:t>A</w:t>
            </w:r>
            <w:r w:rsidR="004E3B4B">
              <w:rPr>
                <w:rFonts w:cs="Arial"/>
                <w:b/>
              </w:rPr>
              <w:t>.</w:t>
            </w:r>
          </w:p>
          <w:p w:rsidR="00E43392" w:rsidRDefault="004E3B4B">
            <w:pPr>
              <w:rPr>
                <w:rFonts w:cs="Arial"/>
                <w:b/>
              </w:rPr>
            </w:pPr>
            <w:r>
              <w:rPr>
                <w:rFonts w:cs="Arial"/>
                <w:b/>
              </w:rPr>
              <w:t>S</w:t>
            </w:r>
            <w:r w:rsidR="00670114" w:rsidRPr="00670114">
              <w:rPr>
                <w:rFonts w:cs="Arial"/>
                <w:b/>
              </w:rPr>
              <w:t>tructure</w:t>
            </w:r>
          </w:p>
        </w:tc>
        <w:tc>
          <w:tcPr>
            <w:tcW w:w="6663" w:type="dxa"/>
          </w:tcPr>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(a) the Management of the administration of benefits and strategic management of fund assets clearly rests with the main committee established by the appointing Council</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(b) that representatives of participating LGPS employers, admitted bodies and scheme members (including pensioner and deferred members) are members of either the main or secondary committee established to underpin the work of the main committee(1)</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(c) </w:t>
            </w:r>
            <w:proofErr w:type="gramStart"/>
            <w:r w:rsidRPr="00670114">
              <w:rPr>
                <w:rFonts w:cs="Arial"/>
                <w:i/>
                <w:szCs w:val="24"/>
              </w:rPr>
              <w:t>that</w:t>
            </w:r>
            <w:proofErr w:type="gramEnd"/>
            <w:r w:rsidRPr="00670114">
              <w:rPr>
                <w:rFonts w:cs="Arial"/>
                <w:i/>
                <w:szCs w:val="24"/>
              </w:rPr>
              <w:t xml:space="preserve"> where a secondary committee or panel has been established, the structure ensures effective communication across both levels.</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(d) </w:t>
            </w:r>
            <w:proofErr w:type="gramStart"/>
            <w:r w:rsidRPr="00670114">
              <w:rPr>
                <w:rFonts w:cs="Arial"/>
                <w:i/>
                <w:szCs w:val="24"/>
              </w:rPr>
              <w:t>that</w:t>
            </w:r>
            <w:proofErr w:type="gramEnd"/>
            <w:r w:rsidRPr="00670114">
              <w:rPr>
                <w:rFonts w:cs="Arial"/>
                <w:i/>
                <w:szCs w:val="24"/>
              </w:rPr>
              <w:t xml:space="preserve"> where a secondary committee or panel has been established, at least one seat on the main committee is allocated for a member from the secondary committee or panel.</w:t>
            </w:r>
          </w:p>
          <w:p w:rsidR="00D90DA1" w:rsidRPr="00D90DA1" w:rsidRDefault="00D90DA1" w:rsidP="0009677B">
            <w:pPr>
              <w:rPr>
                <w:rFonts w:cs="Arial"/>
                <w:i/>
                <w:szCs w:val="24"/>
              </w:rPr>
            </w:pPr>
          </w:p>
        </w:tc>
        <w:tc>
          <w:tcPr>
            <w:tcW w:w="2268" w:type="dxa"/>
          </w:tcPr>
          <w:p w:rsidR="00D90DA1" w:rsidRPr="005A04CB" w:rsidRDefault="00D90DA1" w:rsidP="00D90DA1">
            <w:pPr>
              <w:rPr>
                <w:rFonts w:cs="Arial"/>
                <w:szCs w:val="24"/>
              </w:rPr>
            </w:pPr>
          </w:p>
          <w:p w:rsidR="00D90DA1" w:rsidRPr="005A04CB" w:rsidRDefault="00D90DA1" w:rsidP="00D90DA1">
            <w:pPr>
              <w:jc w:val="center"/>
              <w:rPr>
                <w:rFonts w:cs="Arial"/>
                <w:sz w:val="40"/>
                <w:szCs w:val="40"/>
              </w:rPr>
            </w:pPr>
            <w:r w:rsidRPr="005A04CB">
              <w:rPr>
                <w:sz w:val="40"/>
                <w:szCs w:val="40"/>
              </w:rPr>
              <w:sym w:font="Wingdings" w:char="F0FC"/>
            </w:r>
          </w:p>
          <w:p w:rsidR="00D90DA1" w:rsidRPr="005A04CB" w:rsidRDefault="00D90DA1" w:rsidP="00D90DA1">
            <w:pPr>
              <w:jc w:val="center"/>
              <w:rPr>
                <w:rFonts w:cs="Arial"/>
                <w:sz w:val="40"/>
                <w:szCs w:val="40"/>
              </w:rPr>
            </w:pPr>
          </w:p>
          <w:p w:rsidR="00D90DA1" w:rsidRPr="005A04CB" w:rsidRDefault="00D90DA1" w:rsidP="00D90DA1">
            <w:pPr>
              <w:jc w:val="center"/>
              <w:rPr>
                <w:rFonts w:cs="Arial"/>
                <w:sz w:val="40"/>
                <w:szCs w:val="40"/>
              </w:rPr>
            </w:pPr>
          </w:p>
          <w:p w:rsidR="00D90DA1" w:rsidRPr="006D50A4" w:rsidRDefault="00D90DA1" w:rsidP="00D90DA1">
            <w:pPr>
              <w:jc w:val="center"/>
              <w:rPr>
                <w:rFonts w:cs="Arial"/>
                <w:b/>
                <w:szCs w:val="24"/>
              </w:rPr>
            </w:pPr>
            <w:r w:rsidRPr="006D50A4">
              <w:rPr>
                <w:rFonts w:cs="Arial"/>
                <w:b/>
                <w:szCs w:val="24"/>
              </w:rPr>
              <w:t>Partial</w:t>
            </w:r>
          </w:p>
          <w:p w:rsidR="00D90DA1" w:rsidRPr="006D50A4" w:rsidRDefault="00D90DA1" w:rsidP="00D90DA1">
            <w:pPr>
              <w:jc w:val="center"/>
              <w:rPr>
                <w:rFonts w:cs="Arial"/>
                <w:szCs w:val="24"/>
              </w:rPr>
            </w:pPr>
            <w:r w:rsidRPr="006D50A4">
              <w:rPr>
                <w:rFonts w:cs="Arial"/>
                <w:szCs w:val="24"/>
              </w:rPr>
              <w:t>See note 1 below</w:t>
            </w:r>
          </w:p>
          <w:p w:rsidR="00D90DA1" w:rsidRPr="005A04CB" w:rsidRDefault="00D90DA1" w:rsidP="00D90DA1">
            <w:pPr>
              <w:jc w:val="center"/>
              <w:rPr>
                <w:rFonts w:cs="Arial"/>
                <w:sz w:val="40"/>
                <w:szCs w:val="40"/>
              </w:rPr>
            </w:pPr>
          </w:p>
          <w:p w:rsidR="00D90DA1" w:rsidRPr="005A04CB" w:rsidRDefault="00D90DA1" w:rsidP="00D90DA1">
            <w:pPr>
              <w:jc w:val="center"/>
              <w:rPr>
                <w:rFonts w:cs="Arial"/>
                <w:sz w:val="40"/>
                <w:szCs w:val="40"/>
              </w:rPr>
            </w:pPr>
          </w:p>
          <w:p w:rsidR="00D90DA1" w:rsidRPr="005A04CB" w:rsidRDefault="00D90DA1" w:rsidP="00D90DA1">
            <w:pPr>
              <w:jc w:val="center"/>
              <w:rPr>
                <w:sz w:val="40"/>
                <w:szCs w:val="40"/>
              </w:rPr>
            </w:pPr>
            <w:r w:rsidRPr="005A04CB">
              <w:rPr>
                <w:sz w:val="40"/>
                <w:szCs w:val="40"/>
              </w:rPr>
              <w:sym w:font="Wingdings" w:char="F0FC"/>
            </w:r>
          </w:p>
          <w:p w:rsidR="00D90DA1" w:rsidRPr="005A04CB" w:rsidRDefault="00D90DA1" w:rsidP="00D90DA1">
            <w:pPr>
              <w:jc w:val="center"/>
              <w:rPr>
                <w:rFonts w:cs="Arial"/>
                <w:sz w:val="40"/>
                <w:szCs w:val="40"/>
              </w:rPr>
            </w:pPr>
          </w:p>
          <w:p w:rsidR="00D90DA1" w:rsidRDefault="00D90DA1" w:rsidP="00D90DA1">
            <w:pPr>
              <w:jc w:val="center"/>
              <w:rPr>
                <w:sz w:val="40"/>
                <w:szCs w:val="40"/>
              </w:rPr>
            </w:pPr>
          </w:p>
          <w:p w:rsidR="00D90DA1" w:rsidRPr="005A04CB" w:rsidRDefault="00D90DA1" w:rsidP="00D90DA1">
            <w:pPr>
              <w:jc w:val="center"/>
              <w:rPr>
                <w:sz w:val="40"/>
                <w:szCs w:val="40"/>
              </w:rPr>
            </w:pPr>
            <w:r w:rsidRPr="005A04CB">
              <w:rPr>
                <w:sz w:val="40"/>
                <w:szCs w:val="40"/>
              </w:rPr>
              <w:sym w:font="Wingdings" w:char="F0FC"/>
            </w:r>
          </w:p>
          <w:p w:rsidR="00D90DA1" w:rsidRPr="00E21C30" w:rsidRDefault="00D90DA1" w:rsidP="003207B3">
            <w:pPr>
              <w:rPr>
                <w:rFonts w:cs="Arial"/>
                <w:szCs w:val="24"/>
                <w:highlight w:val="yellow"/>
              </w:rPr>
            </w:pPr>
          </w:p>
        </w:tc>
      </w:tr>
    </w:tbl>
    <w:p w:rsidR="0017515A" w:rsidRPr="00E21C30" w:rsidRDefault="00670114">
      <w:pPr>
        <w:rPr>
          <w:highlight w:val="yellow"/>
        </w:rPr>
      </w:pPr>
      <w:r w:rsidRPr="00670114">
        <w:rPr>
          <w:highlight w:val="yellow"/>
        </w:rPr>
        <w:br w:type="page"/>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85"/>
        <w:gridCol w:w="5753"/>
        <w:gridCol w:w="2610"/>
      </w:tblGrid>
      <w:tr w:rsidR="00817DB0" w:rsidRPr="00E21C30" w:rsidTr="00957544">
        <w:tc>
          <w:tcPr>
            <w:tcW w:w="1985" w:type="dxa"/>
            <w:tcBorders>
              <w:top w:val="single" w:sz="4" w:space="0" w:color="auto"/>
            </w:tcBorders>
          </w:tcPr>
          <w:p w:rsidR="00817DB0" w:rsidRPr="00D90DA1" w:rsidRDefault="00817DB0" w:rsidP="0009677B">
            <w:pPr>
              <w:rPr>
                <w:rFonts w:cs="Arial"/>
                <w:b/>
              </w:rPr>
            </w:pPr>
          </w:p>
          <w:p w:rsidR="00D90DA1" w:rsidRDefault="00670114" w:rsidP="0009677B">
            <w:pPr>
              <w:rPr>
                <w:rFonts w:cs="Arial"/>
                <w:b/>
              </w:rPr>
            </w:pPr>
            <w:r w:rsidRPr="00670114">
              <w:rPr>
                <w:rFonts w:cs="Arial"/>
                <w:b/>
              </w:rPr>
              <w:t>B</w:t>
            </w:r>
            <w:r w:rsidR="004E3B4B">
              <w:rPr>
                <w:rFonts w:cs="Arial"/>
                <w:b/>
              </w:rPr>
              <w:t>.</w:t>
            </w:r>
          </w:p>
          <w:p w:rsidR="00817DB0" w:rsidRPr="00D90DA1" w:rsidRDefault="00670114" w:rsidP="0009677B">
            <w:pPr>
              <w:rPr>
                <w:rFonts w:cs="Arial"/>
                <w:b/>
              </w:rPr>
            </w:pPr>
            <w:r w:rsidRPr="00670114">
              <w:rPr>
                <w:rFonts w:cs="Arial"/>
                <w:b/>
              </w:rPr>
              <w:t>Representation</w:t>
            </w:r>
          </w:p>
        </w:tc>
        <w:tc>
          <w:tcPr>
            <w:tcW w:w="5753" w:type="dxa"/>
            <w:tcBorders>
              <w:top w:val="single" w:sz="4" w:space="0" w:color="auto"/>
            </w:tcBorders>
          </w:tcPr>
          <w:p w:rsidR="00817DB0" w:rsidRPr="00D90DA1" w:rsidRDefault="00817DB0" w:rsidP="0009677B">
            <w:pPr>
              <w:rPr>
                <w:rFonts w:cs="Arial"/>
                <w:i/>
                <w:szCs w:val="24"/>
              </w:rPr>
            </w:pPr>
          </w:p>
          <w:p w:rsidR="00897DBF" w:rsidRDefault="00670114">
            <w:pPr>
              <w:numPr>
                <w:ilvl w:val="0"/>
                <w:numId w:val="60"/>
              </w:numPr>
              <w:tabs>
                <w:tab w:val="left" w:pos="459"/>
              </w:tabs>
              <w:ind w:left="34" w:firstLine="0"/>
              <w:rPr>
                <w:rFonts w:cs="Arial"/>
                <w:i/>
                <w:szCs w:val="24"/>
              </w:rPr>
            </w:pPr>
            <w:proofErr w:type="gramStart"/>
            <w:r w:rsidRPr="00670114">
              <w:rPr>
                <w:rFonts w:cs="Arial"/>
                <w:i/>
                <w:szCs w:val="24"/>
              </w:rPr>
              <w:t>that</w:t>
            </w:r>
            <w:proofErr w:type="gramEnd"/>
            <w:r w:rsidRPr="00670114">
              <w:rPr>
                <w:rFonts w:cs="Arial"/>
                <w:i/>
                <w:szCs w:val="24"/>
              </w:rPr>
              <w:t xml:space="preserve"> all key stakeholders are afforded the opportunity to be represented within the main or secondary committee structure. (1) </w:t>
            </w:r>
          </w:p>
          <w:p w:rsidR="00F41861" w:rsidRPr="00D90DA1" w:rsidRDefault="00F41861" w:rsidP="00F41861">
            <w:pPr>
              <w:ind w:left="720"/>
              <w:rPr>
                <w:rFonts w:cs="Arial"/>
                <w:i/>
                <w:szCs w:val="24"/>
              </w:rPr>
            </w:pPr>
          </w:p>
          <w:p w:rsidR="00817DB0" w:rsidRPr="00D90DA1" w:rsidRDefault="00670114" w:rsidP="00F41861">
            <w:pPr>
              <w:rPr>
                <w:rFonts w:cs="Arial"/>
                <w:i/>
                <w:szCs w:val="24"/>
              </w:rPr>
            </w:pPr>
            <w:r w:rsidRPr="00670114">
              <w:rPr>
                <w:rFonts w:cs="Arial"/>
                <w:i/>
                <w:szCs w:val="24"/>
              </w:rPr>
              <w:t>These include:</w:t>
            </w:r>
          </w:p>
          <w:p w:rsidR="003207B3" w:rsidRPr="00D90DA1" w:rsidRDefault="00670114" w:rsidP="00011588">
            <w:pPr>
              <w:numPr>
                <w:ilvl w:val="0"/>
                <w:numId w:val="9"/>
              </w:numPr>
              <w:tabs>
                <w:tab w:val="clear" w:pos="1080"/>
                <w:tab w:val="num" w:pos="387"/>
              </w:tabs>
              <w:ind w:hanging="1080"/>
              <w:rPr>
                <w:rFonts w:cs="Arial"/>
                <w:i/>
                <w:szCs w:val="24"/>
              </w:rPr>
            </w:pPr>
            <w:r w:rsidRPr="00670114">
              <w:rPr>
                <w:rFonts w:cs="Arial"/>
                <w:i/>
                <w:szCs w:val="24"/>
              </w:rPr>
              <w:t xml:space="preserve">employing authorities (including non-scheme  </w:t>
            </w:r>
          </w:p>
          <w:p w:rsidR="00817DB0" w:rsidRPr="00D90DA1" w:rsidRDefault="00670114" w:rsidP="003207B3">
            <w:pPr>
              <w:rPr>
                <w:rFonts w:cs="Arial"/>
                <w:i/>
                <w:szCs w:val="24"/>
              </w:rPr>
            </w:pPr>
            <w:r w:rsidRPr="00670114">
              <w:rPr>
                <w:rFonts w:cs="Arial"/>
                <w:i/>
                <w:szCs w:val="24"/>
              </w:rPr>
              <w:t>employers, e.g. admitted bodies)</w:t>
            </w:r>
          </w:p>
          <w:p w:rsidR="00817DB0" w:rsidRPr="00D90DA1" w:rsidRDefault="00670114" w:rsidP="003207B3">
            <w:pPr>
              <w:rPr>
                <w:rFonts w:cs="Arial"/>
                <w:i/>
                <w:szCs w:val="24"/>
              </w:rPr>
            </w:pPr>
            <w:r w:rsidRPr="00670114">
              <w:rPr>
                <w:rFonts w:cs="Arial"/>
                <w:i/>
                <w:szCs w:val="24"/>
              </w:rPr>
              <w:t>(ii) scheme members (including deferred and pensioner scheme members)</w:t>
            </w:r>
          </w:p>
          <w:p w:rsidR="00817DB0" w:rsidRPr="00D90DA1" w:rsidRDefault="00670114" w:rsidP="0009677B">
            <w:pPr>
              <w:rPr>
                <w:rFonts w:cs="Arial"/>
                <w:i/>
                <w:szCs w:val="24"/>
              </w:rPr>
            </w:pPr>
            <w:r w:rsidRPr="00670114">
              <w:rPr>
                <w:rFonts w:cs="Arial"/>
                <w:i/>
                <w:szCs w:val="24"/>
              </w:rPr>
              <w:t>(iii) independent professional observers (2)</w:t>
            </w:r>
          </w:p>
          <w:p w:rsidR="00817DB0" w:rsidRPr="00D90DA1" w:rsidRDefault="00670114" w:rsidP="0009677B">
            <w:pPr>
              <w:rPr>
                <w:rFonts w:cs="Arial"/>
                <w:i/>
                <w:szCs w:val="24"/>
              </w:rPr>
            </w:pPr>
            <w:r w:rsidRPr="00670114">
              <w:rPr>
                <w:rFonts w:cs="Arial"/>
                <w:i/>
                <w:szCs w:val="24"/>
              </w:rPr>
              <w:t>(iv) expert advisers (on an ad hoc basis)</w:t>
            </w:r>
          </w:p>
          <w:p w:rsidR="00817DB0" w:rsidRPr="00D90DA1" w:rsidRDefault="00817DB0" w:rsidP="0009677B">
            <w:pPr>
              <w:rPr>
                <w:rFonts w:cs="Arial"/>
                <w:i/>
                <w:szCs w:val="24"/>
              </w:rPr>
            </w:pPr>
          </w:p>
        </w:tc>
        <w:tc>
          <w:tcPr>
            <w:tcW w:w="2610" w:type="dxa"/>
            <w:tcBorders>
              <w:top w:val="single" w:sz="4" w:space="0" w:color="auto"/>
            </w:tcBorders>
          </w:tcPr>
          <w:p w:rsidR="00897DBF" w:rsidRDefault="00897DBF">
            <w:pPr>
              <w:ind w:right="-250"/>
              <w:rPr>
                <w:rFonts w:cs="Arial"/>
                <w:szCs w:val="24"/>
                <w:highlight w:val="yellow"/>
              </w:rPr>
            </w:pPr>
          </w:p>
          <w:p w:rsidR="00897DBF" w:rsidRDefault="00D90DA1">
            <w:pPr>
              <w:ind w:right="-250"/>
              <w:rPr>
                <w:rFonts w:cs="Arial"/>
                <w:b/>
                <w:szCs w:val="24"/>
              </w:rPr>
            </w:pPr>
            <w:r w:rsidRPr="000218E0">
              <w:rPr>
                <w:rFonts w:cs="Arial"/>
                <w:b/>
                <w:szCs w:val="24"/>
              </w:rPr>
              <w:t>Partial</w:t>
            </w:r>
          </w:p>
          <w:p w:rsidR="00897DBF" w:rsidRDefault="00D90DA1">
            <w:pPr>
              <w:ind w:right="-250"/>
              <w:rPr>
                <w:rFonts w:cs="Arial"/>
                <w:szCs w:val="24"/>
                <w:highlight w:val="yellow"/>
              </w:rPr>
            </w:pPr>
            <w:r w:rsidRPr="000218E0">
              <w:rPr>
                <w:rFonts w:cs="Arial"/>
                <w:szCs w:val="24"/>
              </w:rPr>
              <w:t>(see note</w:t>
            </w:r>
            <w:r>
              <w:rPr>
                <w:rFonts w:cs="Arial"/>
                <w:szCs w:val="24"/>
              </w:rPr>
              <w:t>s</w:t>
            </w:r>
            <w:r w:rsidR="00957544">
              <w:rPr>
                <w:rFonts w:cs="Arial"/>
                <w:szCs w:val="24"/>
              </w:rPr>
              <w:t xml:space="preserve"> 1&amp;</w:t>
            </w:r>
            <w:r>
              <w:rPr>
                <w:rFonts w:cs="Arial"/>
                <w:szCs w:val="24"/>
              </w:rPr>
              <w:t xml:space="preserve"> 2 </w:t>
            </w:r>
            <w:r w:rsidRPr="000218E0">
              <w:rPr>
                <w:rFonts w:cs="Arial"/>
                <w:szCs w:val="24"/>
              </w:rPr>
              <w:t>below</w:t>
            </w:r>
            <w:r w:rsidR="00957544">
              <w:rPr>
                <w:rFonts w:cs="Arial"/>
                <w:szCs w:val="24"/>
              </w:rPr>
              <w:t>)</w:t>
            </w:r>
          </w:p>
        </w:tc>
      </w:tr>
      <w:tr w:rsidR="00817DB0" w:rsidRPr="00D14D29" w:rsidTr="00957544">
        <w:tc>
          <w:tcPr>
            <w:tcW w:w="10348" w:type="dxa"/>
            <w:gridSpan w:val="3"/>
          </w:tcPr>
          <w:p w:rsidR="003C52C2" w:rsidRPr="00E21C30" w:rsidRDefault="003C52C2" w:rsidP="003207B3">
            <w:pPr>
              <w:rPr>
                <w:rFonts w:cs="Arial"/>
                <w:szCs w:val="24"/>
                <w:highlight w:val="yellow"/>
              </w:rPr>
            </w:pPr>
          </w:p>
          <w:p w:rsidR="00817DB0" w:rsidRPr="00D90DA1" w:rsidRDefault="00670114" w:rsidP="003207B3">
            <w:pPr>
              <w:rPr>
                <w:rFonts w:cs="Arial"/>
                <w:b/>
                <w:szCs w:val="24"/>
              </w:rPr>
            </w:pPr>
            <w:r w:rsidRPr="00670114">
              <w:rPr>
                <w:rFonts w:cs="Arial"/>
                <w:b/>
                <w:szCs w:val="24"/>
              </w:rPr>
              <w:t>Reasons for Partial Compliance</w:t>
            </w:r>
          </w:p>
          <w:p w:rsidR="003C52C2" w:rsidRPr="00D90DA1" w:rsidRDefault="003C52C2" w:rsidP="003207B3">
            <w:pPr>
              <w:rPr>
                <w:rFonts w:cs="Arial"/>
                <w:szCs w:val="24"/>
              </w:rPr>
            </w:pPr>
          </w:p>
          <w:p w:rsidR="00817DB0" w:rsidRPr="00D90DA1" w:rsidRDefault="00670114" w:rsidP="003207B3">
            <w:pPr>
              <w:rPr>
                <w:rFonts w:cs="Arial"/>
                <w:szCs w:val="24"/>
              </w:rPr>
            </w:pPr>
            <w:r w:rsidRPr="00670114">
              <w:rPr>
                <w:rFonts w:cs="Arial"/>
                <w:szCs w:val="24"/>
              </w:rPr>
              <w:t xml:space="preserve">Note 1: Although District Councils, Scheduled Bodies and employees are represented, Admitted bodies are not.  Admitted bodies only represent 7% of contributors to the fund and are therefore not represented. However, all employers receive a full annual report and are alerted to important events.  Although employee representatives, i.e. Trade Unions, do not formally represent deferred and pensioner scheme members, it is accepted that representation is available to </w:t>
            </w:r>
            <w:proofErr w:type="gramStart"/>
            <w:r w:rsidRPr="00670114">
              <w:rPr>
                <w:rFonts w:cs="Arial"/>
                <w:szCs w:val="24"/>
              </w:rPr>
              <w:t>deferred</w:t>
            </w:r>
            <w:proofErr w:type="gramEnd"/>
            <w:r w:rsidRPr="00670114">
              <w:rPr>
                <w:rFonts w:cs="Arial"/>
                <w:szCs w:val="24"/>
              </w:rPr>
              <w:t xml:space="preserve"> and pensioners members via this route where necessary and/or appropriate.</w:t>
            </w:r>
          </w:p>
          <w:p w:rsidR="00817DB0" w:rsidRPr="00E21C30" w:rsidRDefault="00817DB0" w:rsidP="003207B3">
            <w:pPr>
              <w:rPr>
                <w:rFonts w:cs="Arial"/>
                <w:szCs w:val="24"/>
                <w:highlight w:val="yellow"/>
              </w:rPr>
            </w:pPr>
          </w:p>
          <w:p w:rsidR="00817DB0" w:rsidRPr="00410808" w:rsidRDefault="00670114" w:rsidP="003C52C2">
            <w:pPr>
              <w:rPr>
                <w:rFonts w:cs="Arial"/>
                <w:szCs w:val="24"/>
              </w:rPr>
            </w:pPr>
            <w:r w:rsidRPr="00670114">
              <w:rPr>
                <w:rFonts w:cs="Arial"/>
                <w:szCs w:val="24"/>
              </w:rPr>
              <w:t xml:space="preserve">Note 2: Guidance envisaged that an independent professional observer could be invited to participate in governance arrangements to enhance the experience, continuity, knowledge, impartiality and performance of committees or panels which would improve the public perception that high standards of governance are a reality and not just an aspiration.  This role is currently performed by </w:t>
            </w:r>
            <w:r w:rsidR="007812A1">
              <w:rPr>
                <w:rFonts w:cs="Arial"/>
                <w:szCs w:val="24"/>
              </w:rPr>
              <w:t xml:space="preserve">the Fund's independent advisers and </w:t>
            </w:r>
            <w:r w:rsidRPr="00670114">
              <w:rPr>
                <w:rFonts w:cs="Arial"/>
                <w:szCs w:val="24"/>
              </w:rPr>
              <w:t>officers and it is not apparent what added value such an appointment would bring.</w:t>
            </w:r>
            <w:r w:rsidR="00F41861" w:rsidRPr="00410808">
              <w:rPr>
                <w:rFonts w:cs="Arial"/>
                <w:szCs w:val="24"/>
              </w:rPr>
              <w:t xml:space="preserve">  </w:t>
            </w:r>
          </w:p>
          <w:p w:rsidR="003C52C2" w:rsidRPr="00410808" w:rsidRDefault="003C52C2" w:rsidP="003C52C2">
            <w:pPr>
              <w:rPr>
                <w:rFonts w:cs="Arial"/>
                <w:szCs w:val="24"/>
              </w:rPr>
            </w:pPr>
          </w:p>
        </w:tc>
      </w:tr>
    </w:tbl>
    <w:p w:rsidR="0017515A" w:rsidRPr="00D14D29" w:rsidRDefault="0017515A">
      <w:pPr>
        <w:rPr>
          <w:highlight w:val="yellow"/>
        </w:rPr>
      </w:pPr>
      <w:r w:rsidRPr="00D14D29">
        <w:rPr>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4"/>
        <w:gridCol w:w="5964"/>
        <w:gridCol w:w="2326"/>
      </w:tblGrid>
      <w:tr w:rsidR="00817DB0" w:rsidRPr="00E21C30" w:rsidTr="004E3B4B">
        <w:tc>
          <w:tcPr>
            <w:tcW w:w="2024" w:type="dxa"/>
          </w:tcPr>
          <w:p w:rsidR="00817DB0" w:rsidRPr="00D90DA1" w:rsidRDefault="00817DB0" w:rsidP="0009677B">
            <w:pPr>
              <w:rPr>
                <w:rFonts w:cs="Arial"/>
                <w:b/>
              </w:rPr>
            </w:pPr>
          </w:p>
          <w:p w:rsidR="00D90DA1" w:rsidRDefault="00670114" w:rsidP="0009677B">
            <w:pPr>
              <w:rPr>
                <w:rFonts w:cs="Arial"/>
                <w:b/>
              </w:rPr>
            </w:pPr>
            <w:r w:rsidRPr="00670114">
              <w:rPr>
                <w:rFonts w:cs="Arial"/>
                <w:b/>
              </w:rPr>
              <w:t>C</w:t>
            </w:r>
            <w:r w:rsidR="004E3B4B">
              <w:rPr>
                <w:rFonts w:cs="Arial"/>
                <w:b/>
              </w:rPr>
              <w:t>.</w:t>
            </w:r>
          </w:p>
          <w:p w:rsidR="00817DB0" w:rsidRPr="00D90DA1" w:rsidRDefault="00670114" w:rsidP="0009677B">
            <w:pPr>
              <w:rPr>
                <w:rFonts w:cs="Arial"/>
                <w:b/>
              </w:rPr>
            </w:pPr>
            <w:r w:rsidRPr="00670114">
              <w:rPr>
                <w:rFonts w:cs="Arial"/>
                <w:b/>
              </w:rPr>
              <w:t>Selection and Role of Lay Members</w:t>
            </w:r>
          </w:p>
        </w:tc>
        <w:tc>
          <w:tcPr>
            <w:tcW w:w="5964" w:type="dxa"/>
          </w:tcPr>
          <w:p w:rsidR="00817DB0" w:rsidRPr="00D90DA1" w:rsidRDefault="00817DB0" w:rsidP="0009677B">
            <w:pPr>
              <w:rPr>
                <w:rFonts w:cs="Arial"/>
                <w:i/>
                <w:szCs w:val="24"/>
              </w:rPr>
            </w:pPr>
          </w:p>
          <w:p w:rsidR="00817DB0"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committee or panel members are made fully aware of the status, role and function they are required to perform on either a main or secondary committee. </w:t>
            </w:r>
          </w:p>
          <w:p w:rsidR="00817DB0" w:rsidRPr="00D90DA1" w:rsidRDefault="00817DB0" w:rsidP="0009677B">
            <w:pPr>
              <w:rPr>
                <w:rFonts w:cs="Arial"/>
                <w:i/>
                <w:szCs w:val="24"/>
              </w:rPr>
            </w:pPr>
          </w:p>
          <w:p w:rsidR="00817DB0" w:rsidRPr="00D90DA1" w:rsidRDefault="00670114" w:rsidP="0009677B">
            <w:pPr>
              <w:rPr>
                <w:rFonts w:cs="Arial"/>
                <w:i/>
                <w:szCs w:val="24"/>
              </w:rPr>
            </w:pPr>
            <w:r w:rsidRPr="00670114">
              <w:rPr>
                <w:rFonts w:cs="Arial"/>
                <w:i/>
                <w:szCs w:val="24"/>
              </w:rPr>
              <w:t>(It is the role of the administering authority to make places available for lay members and for the groups to nominate the representatives.  The lay members are not there to represent their own local, political or private interest but owe a duty of care to their beneficiaries and are required to act in their best interests at all time.)</w:t>
            </w:r>
          </w:p>
          <w:p w:rsidR="00817DB0" w:rsidRPr="00D90DA1" w:rsidRDefault="00817DB0" w:rsidP="0009677B">
            <w:pPr>
              <w:rPr>
                <w:rFonts w:cs="Arial"/>
                <w:szCs w:val="24"/>
              </w:rPr>
            </w:pPr>
          </w:p>
        </w:tc>
        <w:tc>
          <w:tcPr>
            <w:tcW w:w="2326" w:type="dxa"/>
          </w:tcPr>
          <w:p w:rsidR="00817DB0" w:rsidRPr="00E21C30" w:rsidRDefault="00817DB0" w:rsidP="003207B3">
            <w:pPr>
              <w:rPr>
                <w:rFonts w:cs="Arial"/>
                <w:szCs w:val="24"/>
                <w:highlight w:val="yellow"/>
              </w:rPr>
            </w:pPr>
          </w:p>
          <w:p w:rsidR="00D90DA1" w:rsidRPr="000218E0" w:rsidRDefault="00D90DA1" w:rsidP="00D90DA1">
            <w:pPr>
              <w:jc w:val="center"/>
              <w:rPr>
                <w:sz w:val="40"/>
                <w:szCs w:val="40"/>
              </w:rPr>
            </w:pPr>
            <w:r w:rsidRPr="000218E0">
              <w:rPr>
                <w:sz w:val="40"/>
                <w:szCs w:val="40"/>
              </w:rPr>
              <w:sym w:font="Wingdings" w:char="F0FC"/>
            </w:r>
          </w:p>
          <w:p w:rsidR="00CF1D42" w:rsidRDefault="00CF1D42">
            <w:pPr>
              <w:rPr>
                <w:rFonts w:cs="Arial"/>
                <w:szCs w:val="24"/>
                <w:highlight w:val="yellow"/>
              </w:rPr>
            </w:pPr>
          </w:p>
        </w:tc>
      </w:tr>
      <w:tr w:rsidR="00D90DA1" w:rsidRPr="00E21C30" w:rsidTr="004E3B4B">
        <w:tc>
          <w:tcPr>
            <w:tcW w:w="2024" w:type="dxa"/>
          </w:tcPr>
          <w:p w:rsidR="00D90DA1" w:rsidRPr="00D90DA1" w:rsidRDefault="00D90DA1" w:rsidP="0009677B">
            <w:pPr>
              <w:rPr>
                <w:rFonts w:cs="Arial"/>
                <w:b/>
              </w:rPr>
            </w:pPr>
          </w:p>
          <w:p w:rsidR="00D90DA1" w:rsidRDefault="00670114" w:rsidP="0009677B">
            <w:pPr>
              <w:rPr>
                <w:rFonts w:cs="Arial"/>
                <w:b/>
              </w:rPr>
            </w:pPr>
            <w:r w:rsidRPr="00670114">
              <w:rPr>
                <w:rFonts w:cs="Arial"/>
                <w:b/>
              </w:rPr>
              <w:t>D</w:t>
            </w:r>
            <w:r w:rsidR="004E3B4B">
              <w:rPr>
                <w:rFonts w:cs="Arial"/>
                <w:b/>
              </w:rPr>
              <w:t>.</w:t>
            </w:r>
          </w:p>
          <w:p w:rsidR="00CF1D42" w:rsidRDefault="00670114">
            <w:pPr>
              <w:rPr>
                <w:rFonts w:cs="Arial"/>
                <w:b/>
              </w:rPr>
            </w:pPr>
            <w:r w:rsidRPr="00670114">
              <w:rPr>
                <w:rFonts w:cs="Arial"/>
                <w:b/>
              </w:rPr>
              <w:t>Voting</w:t>
            </w:r>
          </w:p>
        </w:tc>
        <w:tc>
          <w:tcPr>
            <w:tcW w:w="5964" w:type="dxa"/>
          </w:tcPr>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the</w:t>
            </w:r>
            <w:proofErr w:type="gramEnd"/>
            <w:r w:rsidRPr="00670114">
              <w:rPr>
                <w:rFonts w:cs="Arial"/>
                <w:i/>
                <w:szCs w:val="24"/>
              </w:rPr>
              <w:t xml:space="preserve"> policy of individual administering authorities on voting rights is clear and transparent, including the justification for not extending voting rights to each body or group represented on main LGPS committees.</w:t>
            </w:r>
          </w:p>
          <w:p w:rsidR="00D90DA1" w:rsidRPr="00D90DA1" w:rsidRDefault="00D90DA1" w:rsidP="0009677B">
            <w:pPr>
              <w:rPr>
                <w:rFonts w:cs="Arial"/>
                <w:i/>
                <w:szCs w:val="24"/>
              </w:rPr>
            </w:pPr>
          </w:p>
        </w:tc>
        <w:tc>
          <w:tcPr>
            <w:tcW w:w="2326" w:type="dxa"/>
          </w:tcPr>
          <w:p w:rsidR="00D90DA1" w:rsidRPr="000218E0" w:rsidRDefault="00D90DA1" w:rsidP="00D90DA1">
            <w:pPr>
              <w:rPr>
                <w:rFonts w:cs="Arial"/>
                <w:szCs w:val="24"/>
              </w:rPr>
            </w:pPr>
          </w:p>
          <w:p w:rsidR="00D90DA1" w:rsidRPr="000218E0" w:rsidRDefault="00D90DA1" w:rsidP="00D90DA1">
            <w:pPr>
              <w:jc w:val="center"/>
              <w:rPr>
                <w:sz w:val="40"/>
                <w:szCs w:val="40"/>
              </w:rPr>
            </w:pPr>
            <w:r w:rsidRPr="000218E0">
              <w:rPr>
                <w:sz w:val="40"/>
                <w:szCs w:val="40"/>
              </w:rPr>
              <w:sym w:font="Wingdings" w:char="F0FC"/>
            </w:r>
          </w:p>
          <w:p w:rsidR="00D90DA1" w:rsidRPr="000218E0" w:rsidRDefault="00D90DA1" w:rsidP="00D90DA1">
            <w:pPr>
              <w:rPr>
                <w:rFonts w:cs="Arial"/>
                <w:szCs w:val="24"/>
              </w:rPr>
            </w:pPr>
          </w:p>
          <w:p w:rsidR="00D90DA1" w:rsidRPr="00E21C30" w:rsidRDefault="00D90DA1" w:rsidP="00E851AA">
            <w:pPr>
              <w:rPr>
                <w:rFonts w:cs="Arial"/>
                <w:szCs w:val="24"/>
                <w:highlight w:val="yellow"/>
              </w:rPr>
            </w:pPr>
          </w:p>
        </w:tc>
      </w:tr>
      <w:tr w:rsidR="00D90DA1" w:rsidRPr="00E21C30" w:rsidTr="004E3B4B">
        <w:tc>
          <w:tcPr>
            <w:tcW w:w="2024" w:type="dxa"/>
          </w:tcPr>
          <w:p w:rsidR="00D90DA1" w:rsidRPr="00D90DA1" w:rsidRDefault="00D90DA1" w:rsidP="0009677B">
            <w:pPr>
              <w:rPr>
                <w:rFonts w:cs="Arial"/>
                <w:b/>
              </w:rPr>
            </w:pPr>
          </w:p>
          <w:p w:rsidR="00D90DA1" w:rsidRPr="00D90DA1" w:rsidRDefault="00670114" w:rsidP="0009677B">
            <w:pPr>
              <w:rPr>
                <w:rFonts w:cs="Arial"/>
                <w:b/>
              </w:rPr>
            </w:pPr>
            <w:r w:rsidRPr="00670114">
              <w:rPr>
                <w:rFonts w:cs="Arial"/>
                <w:b/>
              </w:rPr>
              <w:t>E</w:t>
            </w:r>
            <w:r w:rsidR="004E3B4B">
              <w:rPr>
                <w:rFonts w:cs="Arial"/>
                <w:b/>
              </w:rPr>
              <w:t>.</w:t>
            </w:r>
            <w:r w:rsidRPr="00670114">
              <w:rPr>
                <w:rFonts w:cs="Arial"/>
                <w:b/>
              </w:rPr>
              <w:t xml:space="preserve"> </w:t>
            </w:r>
          </w:p>
          <w:p w:rsidR="00D90DA1" w:rsidRPr="00D90DA1" w:rsidRDefault="00670114" w:rsidP="0009677B">
            <w:pPr>
              <w:rPr>
                <w:rFonts w:cs="Arial"/>
                <w:b/>
              </w:rPr>
            </w:pPr>
            <w:r w:rsidRPr="00670114">
              <w:rPr>
                <w:rFonts w:cs="Arial"/>
                <w:b/>
              </w:rPr>
              <w:t>Training/ Facility Time/ Expenses</w:t>
            </w:r>
          </w:p>
        </w:tc>
        <w:tc>
          <w:tcPr>
            <w:tcW w:w="5964" w:type="dxa"/>
          </w:tcPr>
          <w:p w:rsidR="00D90DA1" w:rsidRPr="00D90DA1" w:rsidRDefault="00D90DA1" w:rsidP="0009677B">
            <w:pPr>
              <w:rPr>
                <w:rFonts w:cs="Arial"/>
                <w:i/>
                <w:sz w:val="16"/>
                <w:szCs w:val="16"/>
              </w:rPr>
            </w:pPr>
          </w:p>
          <w:p w:rsidR="00D90DA1"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in relation to the way in which statutory and related decisions are taken by the administering authority, there is a clear policy on training, facility time and reimbursement of expenses in respect of members involved in the decision-making process.</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(b) </w:t>
            </w:r>
            <w:proofErr w:type="gramStart"/>
            <w:r w:rsidRPr="00670114">
              <w:rPr>
                <w:rFonts w:cs="Arial"/>
                <w:i/>
                <w:szCs w:val="24"/>
              </w:rPr>
              <w:t>that</w:t>
            </w:r>
            <w:proofErr w:type="gramEnd"/>
            <w:r w:rsidRPr="00670114">
              <w:rPr>
                <w:rFonts w:cs="Arial"/>
                <w:i/>
                <w:szCs w:val="24"/>
              </w:rPr>
              <w:t xml:space="preserve"> where such a policy exists, it applies equally to all members of committees, sub-committees, advisory panels or any other form of secondary forum. </w:t>
            </w:r>
          </w:p>
          <w:p w:rsidR="00D90DA1" w:rsidRPr="00D90DA1" w:rsidRDefault="00D90DA1" w:rsidP="0009677B">
            <w:pPr>
              <w:rPr>
                <w:rFonts w:cs="Arial"/>
                <w:i/>
                <w:sz w:val="16"/>
                <w:szCs w:val="16"/>
              </w:rPr>
            </w:pPr>
          </w:p>
        </w:tc>
        <w:tc>
          <w:tcPr>
            <w:tcW w:w="2326" w:type="dxa"/>
          </w:tcPr>
          <w:p w:rsidR="00D90DA1" w:rsidRPr="00DE0E7C" w:rsidRDefault="00D90DA1" w:rsidP="00D90DA1">
            <w:pPr>
              <w:rPr>
                <w:rFonts w:cs="Arial"/>
                <w:szCs w:val="24"/>
              </w:rPr>
            </w:pPr>
          </w:p>
          <w:p w:rsidR="00D90DA1" w:rsidRPr="00DE0E7C" w:rsidRDefault="00D90DA1" w:rsidP="00D90DA1">
            <w:pPr>
              <w:jc w:val="center"/>
              <w:rPr>
                <w:sz w:val="40"/>
                <w:szCs w:val="40"/>
              </w:rPr>
            </w:pPr>
            <w:r w:rsidRPr="00DE0E7C">
              <w:rPr>
                <w:sz w:val="40"/>
                <w:szCs w:val="40"/>
              </w:rPr>
              <w:sym w:font="Wingdings" w:char="F0FC"/>
            </w:r>
          </w:p>
          <w:p w:rsidR="00D90DA1" w:rsidRPr="00DE0E7C" w:rsidRDefault="00D90DA1" w:rsidP="00D90DA1">
            <w:pPr>
              <w:jc w:val="center"/>
              <w:rPr>
                <w:rFonts w:cs="Arial"/>
                <w:sz w:val="40"/>
                <w:szCs w:val="40"/>
              </w:rPr>
            </w:pPr>
          </w:p>
          <w:p w:rsidR="00D90DA1" w:rsidRPr="00DE0E7C" w:rsidRDefault="00D90DA1" w:rsidP="00D90DA1">
            <w:pPr>
              <w:jc w:val="center"/>
              <w:rPr>
                <w:rFonts w:cs="Arial"/>
                <w:sz w:val="40"/>
                <w:szCs w:val="40"/>
              </w:rPr>
            </w:pPr>
          </w:p>
          <w:p w:rsidR="00D90DA1" w:rsidRPr="00DE0E7C" w:rsidRDefault="00D90DA1" w:rsidP="00D90DA1">
            <w:pPr>
              <w:jc w:val="center"/>
              <w:rPr>
                <w:rFonts w:cs="Arial"/>
                <w:sz w:val="40"/>
                <w:szCs w:val="40"/>
              </w:rPr>
            </w:pPr>
          </w:p>
          <w:p w:rsidR="00D90DA1" w:rsidRPr="00DE0E7C" w:rsidRDefault="00D90DA1" w:rsidP="00D90DA1">
            <w:pPr>
              <w:jc w:val="center"/>
              <w:rPr>
                <w:rFonts w:cs="Arial"/>
                <w:sz w:val="40"/>
                <w:szCs w:val="40"/>
              </w:rPr>
            </w:pPr>
          </w:p>
          <w:p w:rsidR="00897DBF" w:rsidRDefault="00D90DA1">
            <w:pPr>
              <w:jc w:val="center"/>
              <w:rPr>
                <w:rFonts w:cs="Arial"/>
                <w:szCs w:val="24"/>
                <w:highlight w:val="yellow"/>
              </w:rPr>
            </w:pPr>
            <w:r w:rsidRPr="00DE0E7C">
              <w:rPr>
                <w:sz w:val="40"/>
                <w:szCs w:val="40"/>
              </w:rPr>
              <w:sym w:font="Wingdings" w:char="F0FC"/>
            </w:r>
          </w:p>
        </w:tc>
      </w:tr>
      <w:tr w:rsidR="00D90DA1" w:rsidRPr="00E21C30" w:rsidTr="008F4D59">
        <w:trPr>
          <w:trHeight w:val="4508"/>
        </w:trPr>
        <w:tc>
          <w:tcPr>
            <w:tcW w:w="2024" w:type="dxa"/>
          </w:tcPr>
          <w:p w:rsidR="00D90DA1" w:rsidRPr="00D90DA1" w:rsidRDefault="00D90DA1" w:rsidP="0009677B">
            <w:pPr>
              <w:rPr>
                <w:rFonts w:cs="Arial"/>
                <w:b/>
              </w:rPr>
            </w:pPr>
          </w:p>
          <w:p w:rsidR="00D90DA1" w:rsidRPr="00D90DA1" w:rsidRDefault="00670114" w:rsidP="0009677B">
            <w:pPr>
              <w:rPr>
                <w:rFonts w:cs="Arial"/>
                <w:b/>
              </w:rPr>
            </w:pPr>
            <w:r w:rsidRPr="00670114">
              <w:rPr>
                <w:rFonts w:cs="Arial"/>
                <w:b/>
              </w:rPr>
              <w:t>F</w:t>
            </w:r>
            <w:r w:rsidR="004E3B4B">
              <w:rPr>
                <w:rFonts w:cs="Arial"/>
                <w:b/>
              </w:rPr>
              <w:t>.</w:t>
            </w:r>
          </w:p>
          <w:p w:rsidR="00D90DA1" w:rsidRPr="00D90DA1" w:rsidRDefault="00670114" w:rsidP="0009677B">
            <w:pPr>
              <w:rPr>
                <w:rFonts w:cs="Arial"/>
                <w:b/>
              </w:rPr>
            </w:pPr>
            <w:r w:rsidRPr="00670114">
              <w:rPr>
                <w:rFonts w:cs="Arial"/>
                <w:b/>
              </w:rPr>
              <w:t>Meetings – Frequency</w:t>
            </w:r>
          </w:p>
        </w:tc>
        <w:tc>
          <w:tcPr>
            <w:tcW w:w="5964" w:type="dxa"/>
          </w:tcPr>
          <w:p w:rsidR="00D90DA1" w:rsidRPr="00D90DA1" w:rsidRDefault="00D90DA1" w:rsidP="0009677B">
            <w:pPr>
              <w:rPr>
                <w:rFonts w:cs="Arial"/>
                <w:i/>
                <w:sz w:val="16"/>
                <w:szCs w:val="16"/>
              </w:rPr>
            </w:pPr>
          </w:p>
          <w:p w:rsidR="00D90DA1"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an administering authority’s main committee or committees meet at least quarterly.</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(b) </w:t>
            </w:r>
            <w:proofErr w:type="gramStart"/>
            <w:r w:rsidRPr="00670114">
              <w:rPr>
                <w:rFonts w:cs="Arial"/>
                <w:i/>
                <w:szCs w:val="24"/>
              </w:rPr>
              <w:t>that</w:t>
            </w:r>
            <w:proofErr w:type="gramEnd"/>
            <w:r w:rsidRPr="00670114">
              <w:rPr>
                <w:rFonts w:cs="Arial"/>
                <w:i/>
                <w:szCs w:val="24"/>
              </w:rPr>
              <w:t xml:space="preserve"> an administering authority’s secondary committee or panel meet at least twice a year and is synchronised with the dates when the main committee sits.</w:t>
            </w:r>
          </w:p>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(c) </w:t>
            </w:r>
            <w:proofErr w:type="gramStart"/>
            <w:r w:rsidRPr="00670114">
              <w:rPr>
                <w:rFonts w:cs="Arial"/>
                <w:i/>
                <w:szCs w:val="24"/>
              </w:rPr>
              <w:t>that</w:t>
            </w:r>
            <w:proofErr w:type="gramEnd"/>
            <w:r w:rsidRPr="00670114">
              <w:rPr>
                <w:rFonts w:cs="Arial"/>
                <w:i/>
                <w:szCs w:val="24"/>
              </w:rPr>
              <w:t xml:space="preserve"> administering authorities who do not include lay members in their formal governance arrangements, provide a forum outside of those arrangements by which the interests of key stakeholders can be represented.</w:t>
            </w:r>
          </w:p>
          <w:p w:rsidR="00D90DA1" w:rsidRPr="00D90DA1" w:rsidRDefault="00D90DA1" w:rsidP="0009677B">
            <w:pPr>
              <w:rPr>
                <w:rFonts w:cs="Arial"/>
                <w:i/>
                <w:sz w:val="16"/>
                <w:szCs w:val="16"/>
              </w:rPr>
            </w:pPr>
          </w:p>
        </w:tc>
        <w:tc>
          <w:tcPr>
            <w:tcW w:w="2326" w:type="dxa"/>
          </w:tcPr>
          <w:p w:rsidR="00D90DA1" w:rsidRPr="00E21C30" w:rsidRDefault="00D90DA1" w:rsidP="003207B3">
            <w:pPr>
              <w:rPr>
                <w:rFonts w:cs="Arial"/>
                <w:szCs w:val="24"/>
                <w:highlight w:val="yellow"/>
              </w:rPr>
            </w:pPr>
          </w:p>
          <w:p w:rsidR="00D90DA1" w:rsidRPr="00DE0E7C" w:rsidRDefault="00D90DA1" w:rsidP="00D90DA1">
            <w:pPr>
              <w:jc w:val="center"/>
              <w:rPr>
                <w:sz w:val="40"/>
                <w:szCs w:val="40"/>
              </w:rPr>
            </w:pPr>
            <w:r w:rsidRPr="00DE0E7C">
              <w:rPr>
                <w:sz w:val="40"/>
                <w:szCs w:val="40"/>
              </w:rPr>
              <w:sym w:font="Wingdings" w:char="F0FC"/>
            </w:r>
          </w:p>
          <w:p w:rsidR="00D90DA1" w:rsidRPr="00DE0E7C" w:rsidRDefault="00D90DA1" w:rsidP="00D90DA1">
            <w:pPr>
              <w:jc w:val="center"/>
              <w:rPr>
                <w:rFonts w:cs="Arial"/>
                <w:sz w:val="40"/>
                <w:szCs w:val="40"/>
              </w:rPr>
            </w:pPr>
          </w:p>
          <w:p w:rsidR="00D90DA1" w:rsidRPr="00DE0E7C" w:rsidRDefault="00D90DA1" w:rsidP="00D90DA1">
            <w:pPr>
              <w:jc w:val="center"/>
              <w:rPr>
                <w:sz w:val="40"/>
                <w:szCs w:val="40"/>
              </w:rPr>
            </w:pPr>
            <w:r w:rsidRPr="00DE0E7C">
              <w:rPr>
                <w:sz w:val="40"/>
                <w:szCs w:val="40"/>
              </w:rPr>
              <w:sym w:font="Wingdings" w:char="F0FC"/>
            </w:r>
          </w:p>
          <w:p w:rsidR="00D90DA1" w:rsidRPr="00DE0E7C" w:rsidRDefault="00D90DA1" w:rsidP="00D90DA1">
            <w:pPr>
              <w:jc w:val="center"/>
              <w:rPr>
                <w:rFonts w:cs="Arial"/>
                <w:sz w:val="40"/>
                <w:szCs w:val="40"/>
              </w:rPr>
            </w:pPr>
          </w:p>
          <w:p w:rsidR="00D90DA1" w:rsidRPr="00DE0E7C" w:rsidRDefault="00D90DA1" w:rsidP="00D90DA1">
            <w:pPr>
              <w:jc w:val="center"/>
              <w:rPr>
                <w:rFonts w:cs="Arial"/>
                <w:sz w:val="40"/>
                <w:szCs w:val="40"/>
              </w:rPr>
            </w:pPr>
          </w:p>
          <w:p w:rsidR="00D90DA1" w:rsidRPr="00DE0E7C" w:rsidRDefault="00D90DA1" w:rsidP="00D90DA1">
            <w:pPr>
              <w:jc w:val="center"/>
              <w:rPr>
                <w:sz w:val="40"/>
                <w:szCs w:val="40"/>
              </w:rPr>
            </w:pPr>
            <w:r w:rsidRPr="00DE0E7C">
              <w:rPr>
                <w:sz w:val="40"/>
                <w:szCs w:val="40"/>
              </w:rPr>
              <w:sym w:font="Wingdings" w:char="F0FC"/>
            </w: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p w:rsidR="00D90DA1" w:rsidRPr="00E21C30" w:rsidRDefault="00D90DA1" w:rsidP="003207B3">
            <w:pPr>
              <w:rPr>
                <w:rFonts w:cs="Arial"/>
                <w:szCs w:val="24"/>
                <w:highlight w:val="yellow"/>
              </w:rPr>
            </w:pPr>
          </w:p>
        </w:tc>
      </w:tr>
    </w:tbl>
    <w:p w:rsidR="0017515A" w:rsidRPr="00E21C30" w:rsidRDefault="00670114">
      <w:pPr>
        <w:rPr>
          <w:highlight w:val="yellow"/>
        </w:rPr>
      </w:pPr>
      <w:r w:rsidRPr="00670114">
        <w:rPr>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4"/>
        <w:gridCol w:w="5964"/>
        <w:gridCol w:w="2326"/>
      </w:tblGrid>
      <w:tr w:rsidR="00817DB0" w:rsidRPr="00E21C30" w:rsidTr="008F4D59">
        <w:tc>
          <w:tcPr>
            <w:tcW w:w="2024" w:type="dxa"/>
          </w:tcPr>
          <w:p w:rsidR="00817DB0" w:rsidRPr="00D90DA1" w:rsidRDefault="00817DB0" w:rsidP="0009677B">
            <w:pPr>
              <w:rPr>
                <w:rFonts w:cs="Arial"/>
                <w:b/>
              </w:rPr>
            </w:pPr>
          </w:p>
          <w:p w:rsidR="00D90DA1" w:rsidRPr="00D90DA1" w:rsidRDefault="00670114" w:rsidP="0009677B">
            <w:pPr>
              <w:rPr>
                <w:rFonts w:cs="Arial"/>
                <w:b/>
              </w:rPr>
            </w:pPr>
            <w:r w:rsidRPr="00670114">
              <w:rPr>
                <w:rFonts w:cs="Arial"/>
                <w:b/>
              </w:rPr>
              <w:t>G</w:t>
            </w:r>
            <w:r w:rsidR="00E43392">
              <w:rPr>
                <w:rFonts w:cs="Arial"/>
                <w:b/>
              </w:rPr>
              <w:t>.</w:t>
            </w:r>
          </w:p>
          <w:p w:rsidR="00817DB0" w:rsidRPr="00D90DA1" w:rsidRDefault="00670114" w:rsidP="0009677B">
            <w:pPr>
              <w:rPr>
                <w:rFonts w:cs="Arial"/>
                <w:b/>
              </w:rPr>
            </w:pPr>
            <w:r w:rsidRPr="00670114">
              <w:rPr>
                <w:rFonts w:cs="Arial"/>
                <w:b/>
              </w:rPr>
              <w:t>Access</w:t>
            </w:r>
          </w:p>
        </w:tc>
        <w:tc>
          <w:tcPr>
            <w:tcW w:w="5964" w:type="dxa"/>
          </w:tcPr>
          <w:p w:rsidR="00817DB0" w:rsidRPr="00D90DA1" w:rsidRDefault="00817DB0" w:rsidP="0009677B">
            <w:pPr>
              <w:rPr>
                <w:rFonts w:cs="Arial"/>
                <w:i/>
                <w:szCs w:val="24"/>
              </w:rPr>
            </w:pPr>
          </w:p>
          <w:p w:rsidR="00817DB0"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subject to any rules in the council’s constitution, all members of main and secondary committees or panels have equal access to committee papers, documents and advice that falls to be considered at meetings of the main committee.</w:t>
            </w:r>
          </w:p>
          <w:p w:rsidR="00817DB0" w:rsidRPr="00D90DA1" w:rsidRDefault="00817DB0" w:rsidP="0009677B">
            <w:pPr>
              <w:rPr>
                <w:rFonts w:cs="Arial"/>
                <w:i/>
                <w:szCs w:val="24"/>
              </w:rPr>
            </w:pPr>
          </w:p>
        </w:tc>
        <w:tc>
          <w:tcPr>
            <w:tcW w:w="2326" w:type="dxa"/>
          </w:tcPr>
          <w:p w:rsidR="00817DB0" w:rsidRPr="00E21C30" w:rsidRDefault="00817DB0" w:rsidP="003207B3">
            <w:pPr>
              <w:rPr>
                <w:rFonts w:cs="Arial"/>
                <w:szCs w:val="24"/>
                <w:highlight w:val="yellow"/>
              </w:rPr>
            </w:pPr>
          </w:p>
          <w:p w:rsidR="00D90DA1" w:rsidRPr="00DE0E7C" w:rsidRDefault="00D90DA1" w:rsidP="00D90DA1">
            <w:pPr>
              <w:jc w:val="center"/>
              <w:rPr>
                <w:sz w:val="40"/>
                <w:szCs w:val="40"/>
              </w:rPr>
            </w:pPr>
            <w:r w:rsidRPr="00DE0E7C">
              <w:rPr>
                <w:sz w:val="40"/>
                <w:szCs w:val="40"/>
              </w:rPr>
              <w:sym w:font="Wingdings" w:char="F0FC"/>
            </w:r>
          </w:p>
          <w:p w:rsidR="00B45DC4" w:rsidRPr="00E21C30" w:rsidRDefault="00B45DC4" w:rsidP="003207B3">
            <w:pPr>
              <w:rPr>
                <w:rFonts w:cs="Arial"/>
                <w:szCs w:val="24"/>
                <w:highlight w:val="yellow"/>
              </w:rPr>
            </w:pPr>
          </w:p>
        </w:tc>
      </w:tr>
      <w:tr w:rsidR="00D90DA1" w:rsidRPr="00E21C30" w:rsidTr="008F4D59">
        <w:tc>
          <w:tcPr>
            <w:tcW w:w="2024" w:type="dxa"/>
          </w:tcPr>
          <w:p w:rsidR="00D90DA1" w:rsidRPr="00D90DA1" w:rsidRDefault="00D90DA1" w:rsidP="0009677B">
            <w:pPr>
              <w:rPr>
                <w:rFonts w:cs="Arial"/>
                <w:b/>
              </w:rPr>
            </w:pPr>
          </w:p>
          <w:p w:rsidR="00D90DA1" w:rsidRPr="00D90DA1" w:rsidRDefault="00670114" w:rsidP="0009677B">
            <w:pPr>
              <w:rPr>
                <w:rFonts w:cs="Arial"/>
                <w:b/>
              </w:rPr>
            </w:pPr>
            <w:r w:rsidRPr="00670114">
              <w:rPr>
                <w:rFonts w:cs="Arial"/>
                <w:b/>
              </w:rPr>
              <w:t>H</w:t>
            </w:r>
            <w:r w:rsidR="00E43392">
              <w:rPr>
                <w:rFonts w:cs="Arial"/>
                <w:b/>
              </w:rPr>
              <w:t>.</w:t>
            </w:r>
          </w:p>
          <w:p w:rsidR="00D90DA1" w:rsidRPr="00D90DA1" w:rsidRDefault="00670114" w:rsidP="0009677B">
            <w:pPr>
              <w:rPr>
                <w:rFonts w:cs="Arial"/>
                <w:b/>
              </w:rPr>
            </w:pPr>
            <w:r w:rsidRPr="00670114">
              <w:rPr>
                <w:rFonts w:cs="Arial"/>
                <w:b/>
              </w:rPr>
              <w:t>Scope</w:t>
            </w:r>
          </w:p>
        </w:tc>
        <w:tc>
          <w:tcPr>
            <w:tcW w:w="5964" w:type="dxa"/>
          </w:tcPr>
          <w:p w:rsidR="00D90DA1" w:rsidRPr="00D90DA1" w:rsidRDefault="00D90DA1" w:rsidP="0009677B">
            <w:pPr>
              <w:rPr>
                <w:rFonts w:cs="Arial"/>
                <w:i/>
                <w:szCs w:val="24"/>
              </w:rPr>
            </w:pPr>
          </w:p>
          <w:p w:rsidR="00D90DA1" w:rsidRPr="00D90DA1" w:rsidRDefault="00670114" w:rsidP="0009677B">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administering authorities have taken steps to bring wider scheme issues within the scope of their governance arrangements.</w:t>
            </w:r>
          </w:p>
          <w:p w:rsidR="00D90DA1" w:rsidRPr="00D90DA1" w:rsidRDefault="00D90DA1" w:rsidP="0009677B">
            <w:pPr>
              <w:rPr>
                <w:rFonts w:cs="Arial"/>
                <w:szCs w:val="24"/>
              </w:rPr>
            </w:pPr>
          </w:p>
        </w:tc>
        <w:tc>
          <w:tcPr>
            <w:tcW w:w="2326" w:type="dxa"/>
          </w:tcPr>
          <w:p w:rsidR="00D90DA1" w:rsidRPr="00DE0E7C" w:rsidRDefault="00D90DA1" w:rsidP="00D90DA1">
            <w:pPr>
              <w:rPr>
                <w:rFonts w:cs="Arial"/>
                <w:szCs w:val="24"/>
              </w:rPr>
            </w:pPr>
          </w:p>
          <w:p w:rsidR="00D90DA1" w:rsidRPr="00DE0E7C" w:rsidRDefault="00D90DA1" w:rsidP="00D90DA1">
            <w:pPr>
              <w:jc w:val="center"/>
              <w:rPr>
                <w:sz w:val="40"/>
                <w:szCs w:val="40"/>
              </w:rPr>
            </w:pPr>
            <w:r w:rsidRPr="00DE0E7C">
              <w:rPr>
                <w:sz w:val="40"/>
                <w:szCs w:val="40"/>
              </w:rPr>
              <w:sym w:font="Wingdings" w:char="F0FC"/>
            </w:r>
          </w:p>
          <w:p w:rsidR="00D90DA1" w:rsidRPr="00DE0E7C" w:rsidRDefault="00D90DA1" w:rsidP="00D90DA1">
            <w:pPr>
              <w:rPr>
                <w:rFonts w:cs="Arial"/>
                <w:szCs w:val="24"/>
              </w:rPr>
            </w:pPr>
          </w:p>
          <w:p w:rsidR="00CF1D42" w:rsidRDefault="00CF1D42">
            <w:pPr>
              <w:rPr>
                <w:rFonts w:cs="Arial"/>
                <w:szCs w:val="24"/>
                <w:highlight w:val="yellow"/>
              </w:rPr>
            </w:pPr>
          </w:p>
        </w:tc>
      </w:tr>
      <w:tr w:rsidR="00D90DA1" w:rsidRPr="00E21C30" w:rsidTr="008F4D59">
        <w:trPr>
          <w:trHeight w:val="2061"/>
        </w:trPr>
        <w:tc>
          <w:tcPr>
            <w:tcW w:w="2024" w:type="dxa"/>
          </w:tcPr>
          <w:p w:rsidR="00D90DA1" w:rsidRPr="00D90DA1" w:rsidRDefault="00D90DA1" w:rsidP="0009677B">
            <w:pPr>
              <w:rPr>
                <w:rFonts w:cs="Arial"/>
                <w:b/>
              </w:rPr>
            </w:pPr>
          </w:p>
          <w:p w:rsidR="00D90DA1" w:rsidRPr="00D90DA1" w:rsidRDefault="00670114" w:rsidP="0009677B">
            <w:pPr>
              <w:rPr>
                <w:rFonts w:cs="Arial"/>
                <w:b/>
              </w:rPr>
            </w:pPr>
            <w:r w:rsidRPr="00670114">
              <w:rPr>
                <w:rFonts w:cs="Arial"/>
                <w:b/>
              </w:rPr>
              <w:t>I</w:t>
            </w:r>
            <w:r w:rsidR="00E43392">
              <w:rPr>
                <w:rFonts w:cs="Arial"/>
                <w:b/>
              </w:rPr>
              <w:t>.</w:t>
            </w:r>
          </w:p>
          <w:p w:rsidR="00D90DA1" w:rsidRPr="00D90DA1" w:rsidRDefault="00670114" w:rsidP="0009677B">
            <w:pPr>
              <w:rPr>
                <w:rFonts w:cs="Arial"/>
                <w:b/>
              </w:rPr>
            </w:pPr>
            <w:r w:rsidRPr="00670114">
              <w:rPr>
                <w:rFonts w:cs="Arial"/>
                <w:b/>
              </w:rPr>
              <w:t>Publicity</w:t>
            </w:r>
          </w:p>
        </w:tc>
        <w:tc>
          <w:tcPr>
            <w:tcW w:w="5964" w:type="dxa"/>
          </w:tcPr>
          <w:p w:rsidR="00D90DA1" w:rsidRPr="00D90DA1" w:rsidRDefault="00D90DA1" w:rsidP="0009677B">
            <w:pPr>
              <w:rPr>
                <w:rFonts w:cs="Arial"/>
                <w:i/>
                <w:szCs w:val="24"/>
              </w:rPr>
            </w:pPr>
          </w:p>
          <w:p w:rsidR="00D90DA1" w:rsidRPr="00D90DA1" w:rsidRDefault="00670114" w:rsidP="003B412F">
            <w:pPr>
              <w:rPr>
                <w:rFonts w:cs="Arial"/>
                <w:i/>
                <w:szCs w:val="24"/>
              </w:rPr>
            </w:pPr>
            <w:r w:rsidRPr="00670114">
              <w:rPr>
                <w:rFonts w:cs="Arial"/>
                <w:i/>
                <w:szCs w:val="24"/>
              </w:rPr>
              <w:t xml:space="preserve">(a) </w:t>
            </w:r>
            <w:proofErr w:type="gramStart"/>
            <w:r w:rsidRPr="00670114">
              <w:rPr>
                <w:rFonts w:cs="Arial"/>
                <w:i/>
                <w:szCs w:val="24"/>
              </w:rPr>
              <w:t>that</w:t>
            </w:r>
            <w:proofErr w:type="gramEnd"/>
            <w:r w:rsidRPr="00670114">
              <w:rPr>
                <w:rFonts w:cs="Arial"/>
                <w:i/>
                <w:szCs w:val="24"/>
              </w:rPr>
              <w:t xml:space="preserve"> administering authorities have published details of their governance arrangements in such a way that stakeholders with an interest in the way in which the scheme is governed can express an interest in wanting to be part of those arrangements.</w:t>
            </w:r>
          </w:p>
        </w:tc>
        <w:tc>
          <w:tcPr>
            <w:tcW w:w="2326" w:type="dxa"/>
          </w:tcPr>
          <w:p w:rsidR="00D90DA1" w:rsidRPr="00DE0E7C" w:rsidRDefault="00D90DA1" w:rsidP="00D90DA1">
            <w:pPr>
              <w:rPr>
                <w:rFonts w:cs="Arial"/>
                <w:szCs w:val="24"/>
              </w:rPr>
            </w:pPr>
          </w:p>
          <w:p w:rsidR="00D90DA1" w:rsidRPr="00DE0E7C" w:rsidRDefault="00D90DA1" w:rsidP="00D90DA1">
            <w:pPr>
              <w:jc w:val="center"/>
              <w:rPr>
                <w:sz w:val="40"/>
                <w:szCs w:val="40"/>
              </w:rPr>
            </w:pPr>
            <w:r w:rsidRPr="00DE0E7C">
              <w:rPr>
                <w:sz w:val="40"/>
                <w:szCs w:val="40"/>
              </w:rPr>
              <w:sym w:font="Wingdings" w:char="F0FC"/>
            </w:r>
          </w:p>
          <w:p w:rsidR="00D90DA1" w:rsidRPr="00E21C30" w:rsidRDefault="00D90DA1" w:rsidP="00E851AA">
            <w:pPr>
              <w:rPr>
                <w:rFonts w:cs="Arial"/>
                <w:szCs w:val="24"/>
                <w:highlight w:val="yellow"/>
              </w:rPr>
            </w:pPr>
          </w:p>
        </w:tc>
      </w:tr>
    </w:tbl>
    <w:p w:rsidR="009249B1" w:rsidRPr="00E21C30" w:rsidRDefault="009249B1" w:rsidP="004362BE">
      <w:pPr>
        <w:pStyle w:val="Heading1"/>
        <w:spacing w:before="0" w:after="0"/>
        <w:rPr>
          <w:b w:val="0"/>
          <w:snapToGrid w:val="0"/>
          <w:color w:val="000000"/>
          <w:kern w:val="0"/>
          <w:highlight w:val="yellow"/>
          <w:lang w:eastAsia="en-US"/>
        </w:rPr>
      </w:pPr>
    </w:p>
    <w:p w:rsidR="008F4D59" w:rsidRDefault="008F4D59" w:rsidP="004362BE">
      <w:pPr>
        <w:pStyle w:val="Heading1"/>
        <w:spacing w:before="0" w:after="0"/>
        <w:rPr>
          <w:snapToGrid w:val="0"/>
          <w:color w:val="000000"/>
          <w:kern w:val="0"/>
          <w:sz w:val="24"/>
          <w:szCs w:val="24"/>
          <w:lang w:eastAsia="en-US"/>
        </w:rPr>
      </w:pPr>
    </w:p>
    <w:p w:rsidR="008F4D59" w:rsidRDefault="008F4D59" w:rsidP="004362BE">
      <w:pPr>
        <w:pStyle w:val="Heading1"/>
        <w:spacing w:before="0" w:after="0"/>
        <w:rPr>
          <w:snapToGrid w:val="0"/>
          <w:color w:val="000000"/>
          <w:kern w:val="0"/>
          <w:sz w:val="24"/>
          <w:szCs w:val="24"/>
          <w:lang w:eastAsia="en-US"/>
        </w:rPr>
      </w:pPr>
    </w:p>
    <w:p w:rsidR="004362BE" w:rsidRPr="00D90DA1" w:rsidRDefault="00670114" w:rsidP="004362BE">
      <w:pPr>
        <w:pStyle w:val="Heading1"/>
        <w:spacing w:before="0" w:after="0"/>
        <w:rPr>
          <w:snapToGrid w:val="0"/>
          <w:color w:val="000000"/>
          <w:kern w:val="0"/>
          <w:sz w:val="24"/>
          <w:szCs w:val="24"/>
          <w:lang w:eastAsia="en-US"/>
        </w:rPr>
      </w:pPr>
      <w:r w:rsidRPr="00670114">
        <w:rPr>
          <w:snapToGrid w:val="0"/>
          <w:color w:val="000000"/>
          <w:kern w:val="0"/>
          <w:sz w:val="24"/>
          <w:szCs w:val="24"/>
          <w:lang w:eastAsia="en-US"/>
        </w:rPr>
        <w:t>Lancashire County Council’s Annual Governance Statement</w:t>
      </w:r>
    </w:p>
    <w:p w:rsidR="004362BE" w:rsidRPr="00D90DA1" w:rsidRDefault="004362BE" w:rsidP="00E05C4F">
      <w:pPr>
        <w:pStyle w:val="Heading1"/>
        <w:spacing w:before="0" w:after="0"/>
        <w:jc w:val="both"/>
        <w:rPr>
          <w:b w:val="0"/>
          <w:kern w:val="0"/>
          <w:sz w:val="24"/>
        </w:rPr>
      </w:pPr>
    </w:p>
    <w:p w:rsidR="00903060" w:rsidRPr="00D90DA1" w:rsidRDefault="00670114" w:rsidP="00E05C4F">
      <w:pPr>
        <w:pStyle w:val="Heading1"/>
        <w:spacing w:before="0" w:after="0"/>
        <w:jc w:val="both"/>
        <w:rPr>
          <w:b w:val="0"/>
          <w:kern w:val="0"/>
          <w:sz w:val="24"/>
        </w:rPr>
      </w:pPr>
      <w:r w:rsidRPr="00670114">
        <w:rPr>
          <w:b w:val="0"/>
          <w:kern w:val="0"/>
          <w:sz w:val="24"/>
        </w:rPr>
        <w:t xml:space="preserve">The County Council has produced its </w:t>
      </w:r>
      <w:hyperlink r:id="rId10" w:history="1">
        <w:r>
          <w:rPr>
            <w:rStyle w:val="Hyperlink"/>
            <w:b w:val="0"/>
            <w:kern w:val="0"/>
            <w:sz w:val="24"/>
          </w:rPr>
          <w:t>Annual Governance Statement</w:t>
        </w:r>
      </w:hyperlink>
      <w:r w:rsidR="00897DBF">
        <w:rPr>
          <w:b w:val="0"/>
          <w:kern w:val="0"/>
          <w:sz w:val="24"/>
        </w:rPr>
        <w:t xml:space="preserve"> for 2012/13</w:t>
      </w:r>
      <w:r w:rsidRPr="00670114">
        <w:rPr>
          <w:b w:val="0"/>
          <w:kern w:val="0"/>
          <w:sz w:val="24"/>
        </w:rPr>
        <w:t>. This statement sets out assurances on the County Council’s governance arrangements, internal control and the way the County Council manages its affairs.</w:t>
      </w:r>
    </w:p>
    <w:p w:rsidR="00903060" w:rsidRPr="00D90DA1" w:rsidRDefault="00903060" w:rsidP="00E05C4F">
      <w:pPr>
        <w:pStyle w:val="Heading1"/>
        <w:spacing w:before="0" w:after="0"/>
        <w:jc w:val="both"/>
        <w:rPr>
          <w:b w:val="0"/>
          <w:kern w:val="0"/>
          <w:sz w:val="24"/>
        </w:rPr>
      </w:pPr>
    </w:p>
    <w:p w:rsidR="00E41639" w:rsidRPr="00D90DA1" w:rsidRDefault="00670114" w:rsidP="00D20F06">
      <w:pPr>
        <w:pStyle w:val="Heading1"/>
        <w:spacing w:before="0" w:after="0"/>
        <w:jc w:val="both"/>
        <w:rPr>
          <w:lang w:eastAsia="en-US"/>
        </w:rPr>
      </w:pPr>
      <w:r w:rsidRPr="00670114">
        <w:rPr>
          <w:b w:val="0"/>
          <w:kern w:val="0"/>
          <w:sz w:val="24"/>
        </w:rPr>
        <w:t>As the County Council is responsible for the administration of the Pension Fund, including the provision of systems, controls and governance</w:t>
      </w:r>
      <w:r w:rsidR="008F4D59">
        <w:rPr>
          <w:b w:val="0"/>
          <w:kern w:val="0"/>
          <w:sz w:val="24"/>
        </w:rPr>
        <w:t>,</w:t>
      </w:r>
      <w:r w:rsidRPr="00670114">
        <w:rPr>
          <w:b w:val="0"/>
          <w:kern w:val="0"/>
          <w:sz w:val="24"/>
        </w:rPr>
        <w:t xml:space="preserve"> this statement embraces the activities of the Pension Fund.  </w:t>
      </w:r>
    </w:p>
    <w:p w:rsidR="00E05C4F" w:rsidRPr="00E21C30" w:rsidRDefault="00E05C4F" w:rsidP="00E05C4F">
      <w:pPr>
        <w:rPr>
          <w:highlight w:val="yellow"/>
        </w:rPr>
      </w:pPr>
    </w:p>
    <w:p w:rsidR="00897DBF" w:rsidRDefault="00670114">
      <w:pPr>
        <w:pStyle w:val="Heading1"/>
        <w:spacing w:before="0" w:after="0"/>
        <w:ind w:left="360"/>
        <w:rPr>
          <w:caps/>
          <w:snapToGrid w:val="0"/>
          <w:color w:val="000000"/>
          <w:kern w:val="0"/>
          <w:lang w:eastAsia="en-US"/>
        </w:rPr>
      </w:pPr>
      <w:r w:rsidRPr="00670114">
        <w:rPr>
          <w:snapToGrid w:val="0"/>
          <w:color w:val="000000"/>
          <w:kern w:val="0"/>
          <w:highlight w:val="yellow"/>
          <w:lang w:eastAsia="en-US"/>
        </w:rPr>
        <w:br w:type="page"/>
      </w:r>
    </w:p>
    <w:p w:rsidR="00897DBF" w:rsidRDefault="00FC5EDB">
      <w:pPr>
        <w:pStyle w:val="Heading1"/>
        <w:numPr>
          <w:ilvl w:val="0"/>
          <w:numId w:val="52"/>
        </w:numPr>
        <w:spacing w:before="0" w:after="0"/>
        <w:rPr>
          <w:caps/>
          <w:snapToGrid w:val="0"/>
          <w:color w:val="000000"/>
          <w:kern w:val="0"/>
          <w:lang w:eastAsia="en-US"/>
        </w:rPr>
      </w:pPr>
      <w:r w:rsidRPr="0094587C">
        <w:rPr>
          <w:snapToGrid w:val="0"/>
          <w:color w:val="000000"/>
          <w:kern w:val="0"/>
          <w:lang w:eastAsia="en-US"/>
        </w:rPr>
        <w:t>Administration of the Pension Fund</w:t>
      </w:r>
    </w:p>
    <w:p w:rsidR="00FC5EDB" w:rsidRPr="0094587C" w:rsidRDefault="00FC5EDB">
      <w:pPr>
        <w:pStyle w:val="Header"/>
        <w:rPr>
          <w:color w:val="0000FF"/>
        </w:rPr>
      </w:pPr>
    </w:p>
    <w:p w:rsidR="0092190C" w:rsidRDefault="0092190C" w:rsidP="0092190C">
      <w:pPr>
        <w:pStyle w:val="Header"/>
        <w:rPr>
          <w:b/>
        </w:rPr>
      </w:pPr>
      <w:r w:rsidRPr="00B4337E">
        <w:rPr>
          <w:b/>
        </w:rPr>
        <w:t>Overview</w:t>
      </w:r>
    </w:p>
    <w:p w:rsidR="002C4AD2" w:rsidRPr="00B4337E" w:rsidRDefault="002C4AD2" w:rsidP="0092190C">
      <w:pPr>
        <w:pStyle w:val="Header"/>
        <w:rPr>
          <w:b/>
        </w:rPr>
      </w:pPr>
    </w:p>
    <w:p w:rsidR="002C4AD2" w:rsidRPr="00B4337E" w:rsidRDefault="002C4AD2" w:rsidP="002C4AD2">
      <w:pPr>
        <w:jc w:val="both"/>
      </w:pPr>
      <w:r w:rsidRPr="00B4337E">
        <w:t xml:space="preserve">The Local Government Pension Scheme is a statutory </w:t>
      </w:r>
      <w:r>
        <w:t xml:space="preserve">public sector </w:t>
      </w:r>
      <w:r w:rsidRPr="00B4337E">
        <w:t>pension scheme</w:t>
      </w:r>
      <w:r>
        <w:t xml:space="preserve"> which </w:t>
      </w:r>
      <w:r w:rsidRPr="00B4337E">
        <w:t xml:space="preserve">operates on a “defined benefit basis”.  Lancashire County Council </w:t>
      </w:r>
      <w:r>
        <w:t xml:space="preserve">as 'Administering Authority' </w:t>
      </w:r>
      <w:r w:rsidRPr="00B4337E">
        <w:t>is required by law to administer the Scheme within the geographical area of Lancashire.</w:t>
      </w:r>
    </w:p>
    <w:p w:rsidR="002C4AD2" w:rsidRPr="00B4337E" w:rsidRDefault="002C4AD2" w:rsidP="002C4AD2">
      <w:pPr>
        <w:jc w:val="both"/>
      </w:pPr>
    </w:p>
    <w:p w:rsidR="002C4AD2" w:rsidRPr="00B4337E" w:rsidRDefault="002C4AD2" w:rsidP="002C4AD2">
      <w:pPr>
        <w:jc w:val="both"/>
        <w:rPr>
          <w:szCs w:val="24"/>
        </w:rPr>
      </w:pPr>
      <w:r w:rsidRPr="00B4337E">
        <w:t>The County Council administers the Scheme for over 1</w:t>
      </w:r>
      <w:r>
        <w:t>50 employers</w:t>
      </w:r>
      <w:r w:rsidRPr="00B4337E">
        <w:t xml:space="preserve">.  These employers include organisations such as local authorities, further and higher education colleges and voluntary and charitable organisations. This includes a number of “Admitted Bodies”.  These are organisations </w:t>
      </w:r>
      <w:r w:rsidRPr="00B4337E">
        <w:rPr>
          <w:szCs w:val="24"/>
        </w:rPr>
        <w:t>that have entered into an agreement with the County Council to participate in the Fund.</w:t>
      </w:r>
    </w:p>
    <w:p w:rsidR="002C4AD2" w:rsidRPr="00B4337E" w:rsidRDefault="002C4AD2" w:rsidP="002C4AD2">
      <w:pPr>
        <w:jc w:val="both"/>
        <w:rPr>
          <w:szCs w:val="24"/>
        </w:rPr>
      </w:pPr>
    </w:p>
    <w:p w:rsidR="002C4AD2" w:rsidRDefault="002C4AD2" w:rsidP="002C4AD2">
      <w:pPr>
        <w:autoSpaceDE w:val="0"/>
        <w:autoSpaceDN w:val="0"/>
        <w:adjustRightInd w:val="0"/>
        <w:jc w:val="both"/>
        <w:rPr>
          <w:rFonts w:ascii="TT38BAo00" w:eastAsiaTheme="minorHAnsi" w:hAnsi="TT38BAo00" w:cs="TT38BAo00"/>
          <w:szCs w:val="24"/>
          <w:lang w:eastAsia="en-US"/>
        </w:rPr>
      </w:pPr>
      <w:r>
        <w:rPr>
          <w:rFonts w:ascii="TT38BAo00" w:eastAsiaTheme="minorHAnsi" w:hAnsi="TT38BAo00" w:cs="TT38BAo00"/>
          <w:szCs w:val="24"/>
          <w:lang w:eastAsia="en-US"/>
        </w:rPr>
        <w:t xml:space="preserve">The Pension Fund Committee is required to receive regular reports from the Treasurer to the Fund on the administration of the Fund ensuring that best practice standards are satisfied and met and to satisfy itself and justify to all stakeholders, including Fund </w:t>
      </w:r>
      <w:proofErr w:type="gramStart"/>
      <w:r>
        <w:rPr>
          <w:rFonts w:ascii="TT38BAo00" w:eastAsiaTheme="minorHAnsi" w:hAnsi="TT38BAo00" w:cs="TT38BAo00"/>
          <w:szCs w:val="24"/>
          <w:lang w:eastAsia="en-US"/>
        </w:rPr>
        <w:t>Employers, that</w:t>
      </w:r>
      <w:proofErr w:type="gramEnd"/>
      <w:r>
        <w:rPr>
          <w:rFonts w:ascii="TT38BAo00" w:eastAsiaTheme="minorHAnsi" w:hAnsi="TT38BAo00" w:cs="TT38BAo00"/>
          <w:szCs w:val="24"/>
          <w:lang w:eastAsia="en-US"/>
        </w:rPr>
        <w:t xml:space="preserve"> the Fund is being run on an efficient and effective basis. A Service Level Agreement (SLA) exists between </w:t>
      </w:r>
      <w:r w:rsidR="007812A1">
        <w:rPr>
          <w:rFonts w:ascii="TT38BAo00" w:eastAsiaTheme="minorHAnsi" w:hAnsi="TT38BAo00" w:cs="TT38BAo00"/>
          <w:szCs w:val="24"/>
          <w:lang w:eastAsia="en-US"/>
        </w:rPr>
        <w:t>the Pension Fund and the service provider</w:t>
      </w:r>
      <w:r>
        <w:rPr>
          <w:rFonts w:ascii="TT38BAo00" w:eastAsiaTheme="minorHAnsi" w:hAnsi="TT38BAo00" w:cs="TT38BAo00"/>
          <w:szCs w:val="24"/>
          <w:lang w:eastAsia="en-US"/>
        </w:rPr>
        <w:t xml:space="preserve">. The SLA contains specific service level standards and corresponding service level targets and an </w:t>
      </w:r>
      <w:hyperlink r:id="rId11" w:history="1">
        <w:r w:rsidR="00670114">
          <w:rPr>
            <w:rStyle w:val="Hyperlink"/>
            <w:rFonts w:ascii="TT38BAo00" w:eastAsiaTheme="minorHAnsi" w:hAnsi="TT38BAo00" w:cs="TT38BAo00"/>
            <w:szCs w:val="24"/>
            <w:lang w:eastAsia="en-US"/>
          </w:rPr>
          <w:t>Annual</w:t>
        </w:r>
        <w:r w:rsidR="00374A5B" w:rsidRPr="00374A5B">
          <w:rPr>
            <w:rStyle w:val="Hyperlink"/>
            <w:rFonts w:ascii="TT38BAo00" w:eastAsiaTheme="minorHAnsi" w:hAnsi="TT38BAo00" w:cs="TT38BAo00"/>
            <w:szCs w:val="24"/>
            <w:lang w:eastAsia="en-US"/>
          </w:rPr>
          <w:t xml:space="preserve"> Administration Report</w:t>
        </w:r>
      </w:hyperlink>
      <w:r w:rsidR="00897DBF">
        <w:rPr>
          <w:rFonts w:ascii="TT38BAo00" w:eastAsiaTheme="minorHAnsi" w:hAnsi="TT38BAo00" w:cs="TT38BAo00"/>
          <w:szCs w:val="24"/>
          <w:lang w:eastAsia="en-US"/>
        </w:rPr>
        <w:t xml:space="preserve"> is presented to the Pension Fund Committee.</w:t>
      </w:r>
    </w:p>
    <w:p w:rsidR="0092190C" w:rsidRPr="00B4337E" w:rsidRDefault="0092190C" w:rsidP="0092190C">
      <w:pPr>
        <w:pStyle w:val="Header"/>
        <w:rPr>
          <w:b/>
        </w:rPr>
      </w:pPr>
    </w:p>
    <w:p w:rsidR="004F3042" w:rsidRDefault="004F3042" w:rsidP="004F3042">
      <w:pPr>
        <w:autoSpaceDE w:val="0"/>
        <w:autoSpaceDN w:val="0"/>
        <w:adjustRightInd w:val="0"/>
        <w:rPr>
          <w:rFonts w:ascii="TT38BBo00" w:eastAsiaTheme="minorHAnsi" w:hAnsi="TT38BBo00" w:cs="TT38BBo00"/>
          <w:szCs w:val="24"/>
          <w:lang w:eastAsia="en-US"/>
        </w:rPr>
      </w:pPr>
    </w:p>
    <w:p w:rsidR="004F3042" w:rsidRPr="00B4337E" w:rsidRDefault="004F3042" w:rsidP="004F3042">
      <w:pPr>
        <w:autoSpaceDE w:val="0"/>
        <w:autoSpaceDN w:val="0"/>
        <w:adjustRightInd w:val="0"/>
        <w:jc w:val="both"/>
        <w:rPr>
          <w:rFonts w:ascii="Arial,Bold" w:hAnsi="Arial,Bold" w:cs="Arial,Bold"/>
          <w:b/>
          <w:bCs/>
          <w:color w:val="000000"/>
          <w:szCs w:val="24"/>
        </w:rPr>
      </w:pPr>
      <w:r>
        <w:rPr>
          <w:rFonts w:ascii="Arial,Bold" w:hAnsi="Arial,Bold" w:cs="Arial,Bold"/>
          <w:b/>
          <w:bCs/>
          <w:color w:val="000000"/>
          <w:szCs w:val="24"/>
        </w:rPr>
        <w:t xml:space="preserve">Review of the Year </w:t>
      </w:r>
    </w:p>
    <w:p w:rsidR="004F3042" w:rsidRPr="00B4337E" w:rsidRDefault="004F3042" w:rsidP="004F3042">
      <w:pPr>
        <w:autoSpaceDE w:val="0"/>
        <w:autoSpaceDN w:val="0"/>
        <w:adjustRightInd w:val="0"/>
        <w:jc w:val="both"/>
        <w:rPr>
          <w:rFonts w:ascii="Arial,Bold" w:hAnsi="Arial,Bold" w:cs="Arial,Bold"/>
          <w:b/>
          <w:bCs/>
          <w:color w:val="0A48A4"/>
          <w:szCs w:val="24"/>
        </w:rPr>
      </w:pPr>
      <w:r w:rsidRPr="00B4337E">
        <w:rPr>
          <w:rFonts w:ascii="Arial,Bold" w:hAnsi="Arial,Bold" w:cs="Arial,Bold"/>
          <w:b/>
          <w:bCs/>
          <w:color w:val="0A48A4"/>
          <w:szCs w:val="24"/>
        </w:rPr>
        <w:t xml:space="preserve"> </w:t>
      </w:r>
    </w:p>
    <w:p w:rsidR="004F3042" w:rsidRDefault="004F3042" w:rsidP="004F3042">
      <w:pPr>
        <w:autoSpaceDE w:val="0"/>
        <w:autoSpaceDN w:val="0"/>
        <w:adjustRightInd w:val="0"/>
        <w:jc w:val="both"/>
        <w:rPr>
          <w:rFonts w:ascii="TT38BAo00" w:eastAsiaTheme="minorHAnsi" w:hAnsi="TT38BAo00" w:cs="TT38BAo00"/>
          <w:szCs w:val="24"/>
          <w:lang w:eastAsia="en-US"/>
        </w:rPr>
      </w:pPr>
      <w:r>
        <w:rPr>
          <w:rFonts w:ascii="TT38BAo00" w:eastAsiaTheme="minorHAnsi" w:hAnsi="TT38BAo00" w:cs="TT38BAo00"/>
          <w:szCs w:val="24"/>
          <w:lang w:eastAsia="en-US"/>
        </w:rPr>
        <w:t xml:space="preserve">2012 has been a year of change within the Pension Service. The biggest development was the launch of a member self service function “my pension online”. This development allows scheme members to access their pension records online and this service will become the primary method of communication with scheme members in the future. </w:t>
      </w:r>
    </w:p>
    <w:p w:rsidR="004F3042" w:rsidRDefault="004F3042" w:rsidP="004F3042">
      <w:pPr>
        <w:autoSpaceDE w:val="0"/>
        <w:autoSpaceDN w:val="0"/>
        <w:adjustRightInd w:val="0"/>
        <w:jc w:val="both"/>
        <w:rPr>
          <w:rFonts w:ascii="TT38BAo00" w:eastAsiaTheme="minorHAnsi" w:hAnsi="TT38BAo00" w:cs="TT38BAo00"/>
          <w:szCs w:val="24"/>
          <w:lang w:eastAsia="en-US"/>
        </w:rPr>
      </w:pPr>
    </w:p>
    <w:p w:rsidR="004F3042" w:rsidRDefault="004F3042" w:rsidP="004F3042">
      <w:pPr>
        <w:autoSpaceDE w:val="0"/>
        <w:autoSpaceDN w:val="0"/>
        <w:adjustRightInd w:val="0"/>
        <w:jc w:val="both"/>
        <w:rPr>
          <w:rFonts w:ascii="TT38BAo00" w:eastAsiaTheme="minorHAnsi" w:hAnsi="TT38BAo00" w:cs="TT38BAo00"/>
          <w:szCs w:val="24"/>
          <w:lang w:eastAsia="en-US"/>
        </w:rPr>
      </w:pPr>
      <w:r>
        <w:rPr>
          <w:rFonts w:ascii="TT38BAo00" w:eastAsiaTheme="minorHAnsi" w:hAnsi="TT38BAo00" w:cs="TT38BAo00"/>
          <w:szCs w:val="24"/>
          <w:lang w:eastAsia="en-US"/>
        </w:rPr>
        <w:t>Overall performance continues to meet the targets set. At the beginning of 2013 the service was restructured and as a result dedicated client teams were created to deliver more efficient customer focussed services. A Performance Manager was appointed to ensure that standards and targets are met. The overall achievement against service level targets over the year was 96%.</w:t>
      </w:r>
    </w:p>
    <w:p w:rsidR="004F3042" w:rsidRDefault="004F3042" w:rsidP="004F3042">
      <w:pPr>
        <w:autoSpaceDE w:val="0"/>
        <w:autoSpaceDN w:val="0"/>
        <w:adjustRightInd w:val="0"/>
        <w:rPr>
          <w:rFonts w:ascii="TT38BAo00" w:eastAsiaTheme="minorHAnsi" w:hAnsi="TT38BAo00" w:cs="TT38BAo00"/>
          <w:szCs w:val="24"/>
          <w:lang w:eastAsia="en-US"/>
        </w:rPr>
      </w:pPr>
    </w:p>
    <w:p w:rsidR="004F3042" w:rsidRPr="0014624F" w:rsidRDefault="004F3042" w:rsidP="004F3042">
      <w:pPr>
        <w:autoSpaceDE w:val="0"/>
        <w:autoSpaceDN w:val="0"/>
        <w:adjustRightInd w:val="0"/>
        <w:rPr>
          <w:rFonts w:ascii="TT38BAo00" w:eastAsiaTheme="minorHAnsi" w:hAnsi="TT38BAo00" w:cs="TT38BAo00"/>
          <w:szCs w:val="24"/>
          <w:lang w:eastAsia="en-US"/>
        </w:rPr>
      </w:pPr>
      <w:r>
        <w:t xml:space="preserve">The Service also </w:t>
      </w:r>
      <w:r w:rsidRPr="00B4337E">
        <w:t>continue</w:t>
      </w:r>
      <w:r>
        <w:t>s</w:t>
      </w:r>
      <w:r w:rsidRPr="00B4337E">
        <w:t xml:space="preserve"> to </w:t>
      </w:r>
      <w:r>
        <w:t xml:space="preserve">be </w:t>
      </w:r>
      <w:r w:rsidRPr="00B4337E">
        <w:t>cost effective with the cost of administration remaining below the Government’s key indicator</w:t>
      </w:r>
      <w:r>
        <w:t xml:space="preserve"> </w:t>
      </w:r>
      <w:r>
        <w:rPr>
          <w:rFonts w:ascii="TT38BAo00" w:eastAsiaTheme="minorHAnsi" w:hAnsi="TT38BAo00" w:cs="TT38BAo00"/>
          <w:szCs w:val="24"/>
          <w:lang w:eastAsia="en-US"/>
        </w:rPr>
        <w:t>as reported in national benchmarking returns.</w:t>
      </w:r>
    </w:p>
    <w:p w:rsidR="004F3042" w:rsidRDefault="004F3042" w:rsidP="004F3042">
      <w:pPr>
        <w:rPr>
          <w:rFonts w:cs="Arial"/>
        </w:rPr>
      </w:pPr>
    </w:p>
    <w:p w:rsidR="00E1180A" w:rsidRDefault="00E1180A" w:rsidP="004F3042">
      <w:pPr>
        <w:rPr>
          <w:rFonts w:cs="Arial"/>
          <w:b/>
        </w:rPr>
      </w:pPr>
    </w:p>
    <w:p w:rsidR="004F3042" w:rsidRPr="00AD45AE" w:rsidRDefault="004F3042" w:rsidP="004F3042">
      <w:pPr>
        <w:rPr>
          <w:rFonts w:cs="Arial"/>
          <w:b/>
        </w:rPr>
      </w:pPr>
      <w:r>
        <w:rPr>
          <w:rFonts w:cs="Arial"/>
          <w:b/>
        </w:rPr>
        <w:t xml:space="preserve">Public Sector </w:t>
      </w:r>
      <w:r w:rsidRPr="00AD45AE">
        <w:rPr>
          <w:rFonts w:cs="Arial"/>
          <w:b/>
        </w:rPr>
        <w:t xml:space="preserve">Pension Reform </w:t>
      </w:r>
    </w:p>
    <w:p w:rsidR="004F3042" w:rsidRPr="00AD45AE" w:rsidRDefault="004F3042" w:rsidP="004F3042">
      <w:pPr>
        <w:autoSpaceDE w:val="0"/>
        <w:autoSpaceDN w:val="0"/>
        <w:adjustRightInd w:val="0"/>
        <w:rPr>
          <w:rFonts w:cs="Arial"/>
          <w:b/>
          <w:bCs/>
          <w:color w:val="000000"/>
          <w:szCs w:val="24"/>
        </w:rPr>
      </w:pPr>
    </w:p>
    <w:p w:rsidR="004F3042" w:rsidRDefault="004F3042" w:rsidP="004F3042">
      <w:pPr>
        <w:autoSpaceDE w:val="0"/>
        <w:autoSpaceDN w:val="0"/>
        <w:adjustRightInd w:val="0"/>
        <w:rPr>
          <w:rFonts w:ascii="Swiss721BT-Thin" w:eastAsiaTheme="minorHAnsi" w:hAnsi="Swiss721BT-Thin" w:cs="Swiss721BT-Thin"/>
          <w:szCs w:val="24"/>
          <w:lang w:eastAsia="en-US"/>
        </w:rPr>
      </w:pPr>
      <w:r>
        <w:rPr>
          <w:rFonts w:ascii="Swiss721BT-Thin" w:eastAsiaTheme="minorHAnsi" w:hAnsi="Swiss721BT-Thin" w:cs="Swiss721BT-Thin"/>
          <w:szCs w:val="24"/>
          <w:lang w:eastAsia="en-US"/>
        </w:rPr>
        <w:t>A Statutory Consultation started on 21December 2012 on new benefit regulations for the Local Government Pension Scheme (LGPS) from 1 April 2014. A number of further consultations have followed with the intention of having a new LGPS in place by 1 April 2014. This new Scheme will reflect the provisions of the Public Service Pensions Bill which having worked its way through Parliament reached Royal Assent on 25 April 2013.</w:t>
      </w: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2C4AD2" w:rsidRDefault="002C4AD2" w:rsidP="004F3042">
      <w:pPr>
        <w:autoSpaceDE w:val="0"/>
        <w:autoSpaceDN w:val="0"/>
        <w:adjustRightInd w:val="0"/>
        <w:rPr>
          <w:rFonts w:ascii="Swiss721BT-Thin" w:eastAsiaTheme="minorHAnsi" w:hAnsi="Swiss721BT-Thin" w:cs="Swiss721BT-Thin"/>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r>
        <w:rPr>
          <w:rFonts w:ascii="Swiss721BT-Thin" w:eastAsiaTheme="minorHAnsi" w:hAnsi="Swiss721BT-Thin" w:cs="Swiss721BT-Thin"/>
          <w:szCs w:val="24"/>
          <w:lang w:eastAsia="en-US"/>
        </w:rPr>
        <w:t>The main provisions of the new LGPS 2014 are:</w:t>
      </w:r>
    </w:p>
    <w:p w:rsidR="004F3042" w:rsidRDefault="004F3042" w:rsidP="004F3042">
      <w:pPr>
        <w:autoSpaceDE w:val="0"/>
        <w:autoSpaceDN w:val="0"/>
        <w:adjustRightInd w:val="0"/>
        <w:rPr>
          <w:rFonts w:ascii="Swiss721BT-Thin" w:eastAsiaTheme="minorHAnsi" w:hAnsi="Swiss721BT-Thin" w:cs="Swiss721BT-Thin"/>
          <w:szCs w:val="24"/>
          <w:lang w:eastAsia="en-US"/>
        </w:rPr>
      </w:pPr>
    </w:p>
    <w:p w:rsidR="004F3042" w:rsidRPr="00E0627F" w:rsidRDefault="004F3042" w:rsidP="004F3042">
      <w:pPr>
        <w:pStyle w:val="ListParagraph"/>
        <w:numPr>
          <w:ilvl w:val="0"/>
          <w:numId w:val="53"/>
        </w:numPr>
        <w:autoSpaceDE w:val="0"/>
        <w:autoSpaceDN w:val="0"/>
        <w:adjustRightInd w:val="0"/>
        <w:rPr>
          <w:rFonts w:ascii="Swiss721BT-Thin" w:eastAsiaTheme="minorHAnsi" w:hAnsi="Swiss721BT-Thin" w:cs="Swiss721BT-Thin"/>
          <w:lang w:eastAsia="en-US"/>
        </w:rPr>
      </w:pPr>
      <w:r>
        <w:rPr>
          <w:rFonts w:ascii="Swiss721BT-Thin" w:eastAsiaTheme="minorHAnsi" w:hAnsi="Swiss721BT-Thin" w:cs="Swiss721BT-Thin"/>
          <w:lang w:eastAsia="en-US"/>
        </w:rPr>
        <w:t>The Scheme will be a Career Average Re-valued Earnings (CARE)</w:t>
      </w:r>
      <w:r w:rsidR="00E1180A">
        <w:rPr>
          <w:rFonts w:ascii="Swiss721BT-Thin" w:eastAsiaTheme="minorHAnsi" w:hAnsi="Swiss721BT-Thin" w:cs="Swiss721BT-Thin"/>
          <w:lang w:eastAsia="en-US"/>
        </w:rPr>
        <w:t xml:space="preserve"> </w:t>
      </w:r>
      <w:r>
        <w:rPr>
          <w:rFonts w:ascii="Swiss721BT-Thin" w:eastAsiaTheme="minorHAnsi" w:hAnsi="Swiss721BT-Thin" w:cs="Swiss721BT-Thin"/>
          <w:lang w:eastAsia="en-US"/>
        </w:rPr>
        <w:t>Scheme with an accrual rate of 1/49</w:t>
      </w:r>
      <w:r w:rsidRPr="00E0627F">
        <w:rPr>
          <w:rFonts w:ascii="Swiss721BT-Thin" w:eastAsiaTheme="minorHAnsi" w:hAnsi="Swiss721BT-Thin" w:cs="Swiss721BT-Thin"/>
          <w:vertAlign w:val="superscript"/>
          <w:lang w:eastAsia="en-US"/>
        </w:rPr>
        <w:t>th</w:t>
      </w:r>
      <w:r>
        <w:rPr>
          <w:rFonts w:ascii="Swiss721BT-Thin" w:eastAsiaTheme="minorHAnsi" w:hAnsi="Swiss721BT-Thin" w:cs="Swiss721BT-Thin"/>
          <w:vertAlign w:val="superscript"/>
          <w:lang w:eastAsia="en-US"/>
        </w:rPr>
        <w:t xml:space="preserve"> </w:t>
      </w:r>
      <w:r>
        <w:rPr>
          <w:rFonts w:ascii="Swiss721BT-Thin" w:eastAsiaTheme="minorHAnsi" w:hAnsi="Swiss721BT-Thin" w:cs="Swiss721BT-Thin"/>
          <w:lang w:eastAsia="en-US"/>
        </w:rPr>
        <w:t xml:space="preserve">and will be </w:t>
      </w:r>
      <w:r w:rsidRPr="00E0627F">
        <w:rPr>
          <w:rFonts w:ascii="Swiss721BT-Thin" w:eastAsiaTheme="minorHAnsi" w:hAnsi="Swiss721BT-Thin" w:cs="Swiss721BT-Thin"/>
          <w:lang w:eastAsia="en-US"/>
        </w:rPr>
        <w:t xml:space="preserve">re-valued in line with the Consumer Price Index (CPI) </w:t>
      </w:r>
    </w:p>
    <w:p w:rsidR="004F3042" w:rsidRPr="00E0627F" w:rsidRDefault="004F3042" w:rsidP="004F3042">
      <w:pPr>
        <w:pStyle w:val="ListParagraph"/>
        <w:numPr>
          <w:ilvl w:val="0"/>
          <w:numId w:val="53"/>
        </w:numPr>
        <w:autoSpaceDE w:val="0"/>
        <w:autoSpaceDN w:val="0"/>
        <w:adjustRightInd w:val="0"/>
        <w:rPr>
          <w:rFonts w:ascii="Swiss721BT-Thin" w:eastAsiaTheme="minorHAnsi" w:hAnsi="Swiss721BT-Thin" w:cs="Swiss721BT-Thin"/>
          <w:lang w:eastAsia="en-US"/>
        </w:rPr>
      </w:pPr>
      <w:r>
        <w:rPr>
          <w:rFonts w:ascii="Swiss721BT-Thin" w:eastAsiaTheme="minorHAnsi" w:hAnsi="Swiss721BT-Thin" w:cs="Swiss721BT-Thin"/>
          <w:lang w:eastAsia="en-US"/>
        </w:rPr>
        <w:t xml:space="preserve">Normal Pension Age will be the same as the individuals State Retirement Age (minimum 65)  </w:t>
      </w:r>
    </w:p>
    <w:p w:rsidR="004F3042" w:rsidRDefault="004F3042" w:rsidP="004F3042">
      <w:pPr>
        <w:autoSpaceDE w:val="0"/>
        <w:autoSpaceDN w:val="0"/>
        <w:adjustRightInd w:val="0"/>
        <w:rPr>
          <w:rFonts w:ascii="Swiss721BT-Thin-Identity-H" w:eastAsiaTheme="minorHAnsi" w:hAnsi="Swiss721BT-Thin-Identity-H" w:cs="Swiss721BT-Thin-Identity-H"/>
          <w:szCs w:val="24"/>
          <w:lang w:eastAsia="en-US"/>
        </w:rPr>
      </w:pPr>
    </w:p>
    <w:p w:rsidR="004F3042" w:rsidRDefault="004F3042" w:rsidP="004F3042">
      <w:pPr>
        <w:autoSpaceDE w:val="0"/>
        <w:autoSpaceDN w:val="0"/>
        <w:adjustRightInd w:val="0"/>
        <w:rPr>
          <w:rFonts w:ascii="Swiss721BT-Thin" w:eastAsiaTheme="minorHAnsi" w:hAnsi="Swiss721BT-Thin" w:cs="Swiss721BT-Thin"/>
          <w:szCs w:val="24"/>
          <w:lang w:eastAsia="en-US"/>
        </w:rPr>
      </w:pPr>
      <w:r>
        <w:rPr>
          <w:rFonts w:ascii="Swiss721BT-Thin" w:eastAsiaTheme="minorHAnsi" w:hAnsi="Swiss721BT-Thin" w:cs="Swiss721BT-Thin"/>
          <w:szCs w:val="24"/>
          <w:lang w:eastAsia="en-US"/>
        </w:rPr>
        <w:t>The next step of the statutory consultation process will ensure that the regulations covering protections for current scheme members (known as the transitional regulations) are set. These regulations will describe how the move from current to new rules will take place and set the foundation for protections. In particular</w:t>
      </w:r>
      <w:r w:rsidR="00E1180A">
        <w:rPr>
          <w:rFonts w:ascii="Swiss721BT-Thin" w:eastAsiaTheme="minorHAnsi" w:hAnsi="Swiss721BT-Thin" w:cs="Swiss721BT-Thin"/>
          <w:szCs w:val="24"/>
          <w:lang w:eastAsia="en-US"/>
        </w:rPr>
        <w:t>,</w:t>
      </w:r>
      <w:r>
        <w:rPr>
          <w:rFonts w:ascii="Swiss721BT-Thin" w:eastAsiaTheme="minorHAnsi" w:hAnsi="Swiss721BT-Thin" w:cs="Swiss721BT-Thin"/>
          <w:szCs w:val="24"/>
          <w:lang w:eastAsia="en-US"/>
        </w:rPr>
        <w:t xml:space="preserve"> protections will include a final salary link and protected retirement age for benefits built up to March 2014. </w:t>
      </w:r>
    </w:p>
    <w:p w:rsidR="004F3042" w:rsidRDefault="004F3042" w:rsidP="004F3042">
      <w:pPr>
        <w:pStyle w:val="Pa0"/>
        <w:rPr>
          <w:rFonts w:ascii="Arial" w:hAnsi="Arial" w:cs="Arial"/>
          <w:color w:val="000000"/>
        </w:rPr>
      </w:pPr>
    </w:p>
    <w:p w:rsidR="004F3042" w:rsidRPr="001145A7" w:rsidRDefault="004F3042" w:rsidP="004F3042">
      <w:pPr>
        <w:autoSpaceDE w:val="0"/>
        <w:autoSpaceDN w:val="0"/>
        <w:rPr>
          <w:rFonts w:cs="Arial"/>
          <w:b/>
          <w:bCs/>
          <w:color w:val="FFFFFF"/>
          <w:szCs w:val="24"/>
        </w:rPr>
      </w:pPr>
      <w:r>
        <w:rPr>
          <w:rFonts w:cs="Arial"/>
          <w:color w:val="000000"/>
          <w:szCs w:val="24"/>
        </w:rPr>
        <w:t>More details can be found at (</w:t>
      </w:r>
      <w:hyperlink r:id="rId12" w:history="1">
        <w:r>
          <w:rPr>
            <w:rStyle w:val="Hyperlink"/>
            <w:rFonts w:cs="Arial"/>
            <w:szCs w:val="24"/>
          </w:rPr>
          <w:t>www.lgps.org.uk</w:t>
        </w:r>
      </w:hyperlink>
      <w:r>
        <w:rPr>
          <w:rFonts w:cs="Arial"/>
          <w:color w:val="000000"/>
          <w:szCs w:val="24"/>
        </w:rPr>
        <w:t xml:space="preserve">) and within the full </w:t>
      </w:r>
      <w:hyperlink r:id="rId13" w:history="1">
        <w:r w:rsidR="00374A5B" w:rsidRPr="00374A5B">
          <w:rPr>
            <w:rStyle w:val="Hyperlink"/>
            <w:rFonts w:ascii="TT38BAo00" w:eastAsiaTheme="minorHAnsi" w:hAnsi="TT38BAo00" w:cs="TT38BAo00"/>
            <w:szCs w:val="24"/>
            <w:lang w:eastAsia="en-US"/>
          </w:rPr>
          <w:t>Annual Administration Report</w:t>
        </w:r>
      </w:hyperlink>
      <w:r>
        <w:rPr>
          <w:rFonts w:cs="Arial"/>
          <w:color w:val="000000"/>
          <w:szCs w:val="24"/>
        </w:rPr>
        <w:t xml:space="preserve"> </w:t>
      </w:r>
    </w:p>
    <w:p w:rsidR="004F3042" w:rsidRPr="00D14D29" w:rsidRDefault="004F3042" w:rsidP="004F3042">
      <w:pPr>
        <w:autoSpaceDE w:val="0"/>
        <w:autoSpaceDN w:val="0"/>
        <w:adjustRightInd w:val="0"/>
        <w:jc w:val="both"/>
        <w:rPr>
          <w:rFonts w:cs="Arial"/>
          <w:b/>
          <w:color w:val="000000"/>
          <w:szCs w:val="24"/>
          <w:highlight w:val="yellow"/>
        </w:rPr>
      </w:pPr>
    </w:p>
    <w:p w:rsidR="00E1180A" w:rsidRDefault="00E1180A" w:rsidP="004F3042">
      <w:pPr>
        <w:autoSpaceDE w:val="0"/>
        <w:autoSpaceDN w:val="0"/>
        <w:adjustRightInd w:val="0"/>
        <w:jc w:val="both"/>
        <w:rPr>
          <w:rFonts w:cs="Arial"/>
          <w:b/>
          <w:color w:val="000000"/>
          <w:szCs w:val="24"/>
        </w:rPr>
      </w:pPr>
    </w:p>
    <w:p w:rsidR="004F3042" w:rsidRPr="00E56E3C" w:rsidRDefault="004F3042" w:rsidP="004F3042">
      <w:pPr>
        <w:autoSpaceDE w:val="0"/>
        <w:autoSpaceDN w:val="0"/>
        <w:adjustRightInd w:val="0"/>
        <w:jc w:val="both"/>
        <w:rPr>
          <w:rFonts w:cs="Arial"/>
          <w:b/>
          <w:color w:val="000000"/>
          <w:szCs w:val="24"/>
        </w:rPr>
      </w:pPr>
      <w:r w:rsidRPr="00E56E3C">
        <w:rPr>
          <w:rFonts w:cs="Arial"/>
          <w:b/>
          <w:color w:val="000000"/>
          <w:szCs w:val="24"/>
        </w:rPr>
        <w:t>Other information</w:t>
      </w:r>
    </w:p>
    <w:p w:rsidR="004F3042" w:rsidRPr="00E56E3C" w:rsidRDefault="004F3042" w:rsidP="004F3042">
      <w:pPr>
        <w:autoSpaceDE w:val="0"/>
        <w:autoSpaceDN w:val="0"/>
        <w:adjustRightInd w:val="0"/>
        <w:jc w:val="both"/>
        <w:rPr>
          <w:rFonts w:cs="Arial"/>
          <w:b/>
          <w:color w:val="000000"/>
          <w:szCs w:val="24"/>
        </w:rPr>
      </w:pPr>
    </w:p>
    <w:p w:rsidR="004F3042" w:rsidRDefault="004F3042" w:rsidP="004F3042">
      <w:pPr>
        <w:autoSpaceDE w:val="0"/>
        <w:autoSpaceDN w:val="0"/>
        <w:adjustRightInd w:val="0"/>
        <w:jc w:val="both"/>
        <w:rPr>
          <w:rFonts w:cs="Arial"/>
          <w:color w:val="000000"/>
        </w:rPr>
      </w:pPr>
      <w:r w:rsidRPr="00E56E3C">
        <w:rPr>
          <w:rFonts w:cs="Arial"/>
          <w:color w:val="000000"/>
        </w:rPr>
        <w:t xml:space="preserve">Further statements relating to the administration of the Scheme </w:t>
      </w:r>
      <w:r>
        <w:rPr>
          <w:rFonts w:cs="Arial"/>
          <w:color w:val="000000"/>
        </w:rPr>
        <w:t xml:space="preserve">include </w:t>
      </w:r>
      <w:proofErr w:type="gramStart"/>
      <w:r>
        <w:rPr>
          <w:rFonts w:cs="Arial"/>
          <w:color w:val="000000"/>
        </w:rPr>
        <w:t xml:space="preserve">the </w:t>
      </w:r>
      <w:r w:rsidR="00701F50">
        <w:rPr>
          <w:rFonts w:cs="Arial"/>
          <w:color w:val="000000"/>
        </w:rPr>
        <w:t xml:space="preserve"> </w:t>
      </w:r>
      <w:proofErr w:type="gramEnd"/>
      <w:r w:rsidR="001C31F0">
        <w:rPr>
          <w:rFonts w:cs="Arial"/>
          <w:color w:val="000000"/>
        </w:rPr>
        <w:fldChar w:fldCharType="begin"/>
      </w:r>
      <w:r w:rsidR="00701F50">
        <w:rPr>
          <w:rFonts w:cs="Arial"/>
          <w:color w:val="000000"/>
        </w:rPr>
        <w:instrText xml:space="preserve"> HYPERLINK "http://www.yourpensionservice.org.uk/web/viewdoc.asp?id=64645" </w:instrText>
      </w:r>
      <w:r w:rsidR="001C31F0">
        <w:rPr>
          <w:rFonts w:cs="Arial"/>
          <w:color w:val="000000"/>
        </w:rPr>
        <w:fldChar w:fldCharType="separate"/>
      </w:r>
      <w:r w:rsidR="00701F50" w:rsidRPr="00701F50">
        <w:rPr>
          <w:rStyle w:val="Hyperlink"/>
          <w:rFonts w:cs="Arial"/>
        </w:rPr>
        <w:t>Communication Policy Statement</w:t>
      </w:r>
      <w:r w:rsidR="001C31F0">
        <w:rPr>
          <w:rFonts w:cs="Arial"/>
          <w:color w:val="000000"/>
        </w:rPr>
        <w:fldChar w:fldCharType="end"/>
      </w:r>
      <w:r w:rsidRPr="00E80588">
        <w:rPr>
          <w:rFonts w:cs="Arial"/>
          <w:color w:val="000000"/>
        </w:rPr>
        <w:t xml:space="preserve"> and the </w:t>
      </w:r>
      <w:hyperlink r:id="rId14" w:history="1">
        <w:r w:rsidR="00701F50" w:rsidRPr="00701F50">
          <w:rPr>
            <w:rStyle w:val="Hyperlink"/>
            <w:rFonts w:cs="Arial"/>
          </w:rPr>
          <w:t>Pensions Administration Strategy Statement</w:t>
        </w:r>
      </w:hyperlink>
      <w:r>
        <w:rPr>
          <w:rFonts w:cs="Arial"/>
          <w:color w:val="000000"/>
        </w:rPr>
        <w:t>.</w:t>
      </w:r>
      <w:r w:rsidRPr="00E80588">
        <w:rPr>
          <w:rFonts w:cs="Arial"/>
          <w:color w:val="000000"/>
        </w:rPr>
        <w:t xml:space="preserve"> </w:t>
      </w:r>
      <w:r>
        <w:rPr>
          <w:rFonts w:cs="Arial"/>
          <w:color w:val="000000"/>
        </w:rPr>
        <w:t xml:space="preserve"> </w:t>
      </w:r>
    </w:p>
    <w:p w:rsidR="00E1180A" w:rsidRDefault="00E1180A" w:rsidP="004F3042">
      <w:pPr>
        <w:autoSpaceDE w:val="0"/>
        <w:autoSpaceDN w:val="0"/>
        <w:adjustRightInd w:val="0"/>
        <w:jc w:val="both"/>
        <w:rPr>
          <w:rFonts w:cs="Arial"/>
          <w:color w:val="000000"/>
        </w:rPr>
      </w:pPr>
    </w:p>
    <w:p w:rsidR="00E1180A" w:rsidRDefault="00E1180A" w:rsidP="004F3042">
      <w:pPr>
        <w:autoSpaceDE w:val="0"/>
        <w:autoSpaceDN w:val="0"/>
        <w:adjustRightInd w:val="0"/>
        <w:jc w:val="both"/>
        <w:rPr>
          <w:rFonts w:cs="Arial"/>
          <w:color w:val="000000"/>
          <w:highlight w:val="yellow"/>
        </w:rPr>
      </w:pPr>
    </w:p>
    <w:p w:rsidR="004F3042" w:rsidRPr="006E1493" w:rsidRDefault="004F3042" w:rsidP="004F3042">
      <w:pPr>
        <w:pStyle w:val="BodyTextIndent"/>
        <w:ind w:left="0"/>
        <w:jc w:val="left"/>
        <w:rPr>
          <w:rFonts w:cs="Arial"/>
          <w:color w:val="000000"/>
        </w:rPr>
      </w:pPr>
      <w:r>
        <w:rPr>
          <w:rFonts w:cs="Arial"/>
          <w:color w:val="000000"/>
        </w:rPr>
        <w:t>Your</w:t>
      </w:r>
      <w:r w:rsidRPr="006E1493">
        <w:rPr>
          <w:rFonts w:cs="Arial"/>
          <w:color w:val="000000"/>
        </w:rPr>
        <w:t xml:space="preserve"> Pension Service can be contacted at:</w:t>
      </w:r>
    </w:p>
    <w:p w:rsidR="004F3042" w:rsidRDefault="004F3042" w:rsidP="004F3042">
      <w:pPr>
        <w:autoSpaceDE w:val="0"/>
        <w:autoSpaceDN w:val="0"/>
        <w:adjustRightInd w:val="0"/>
        <w:rPr>
          <w:rFonts w:cs="Arial"/>
          <w:bCs/>
          <w:color w:val="000000"/>
        </w:rPr>
      </w:pPr>
      <w:r w:rsidRPr="006E1493">
        <w:rPr>
          <w:rFonts w:cs="Arial"/>
          <w:bCs/>
          <w:color w:val="000000"/>
        </w:rPr>
        <w:t xml:space="preserve">PO Box 100 </w:t>
      </w:r>
    </w:p>
    <w:p w:rsidR="004F3042" w:rsidRDefault="004F3042" w:rsidP="004F3042">
      <w:pPr>
        <w:autoSpaceDE w:val="0"/>
        <w:autoSpaceDN w:val="0"/>
        <w:adjustRightInd w:val="0"/>
        <w:rPr>
          <w:rFonts w:cs="Arial"/>
          <w:bCs/>
          <w:color w:val="000000"/>
        </w:rPr>
      </w:pPr>
      <w:r w:rsidRPr="006E1493">
        <w:rPr>
          <w:rFonts w:cs="Arial"/>
          <w:bCs/>
          <w:color w:val="000000"/>
        </w:rPr>
        <w:t xml:space="preserve">County Hall </w:t>
      </w:r>
    </w:p>
    <w:p w:rsidR="004F3042" w:rsidRDefault="004F3042" w:rsidP="004F3042">
      <w:pPr>
        <w:autoSpaceDE w:val="0"/>
        <w:autoSpaceDN w:val="0"/>
        <w:adjustRightInd w:val="0"/>
        <w:rPr>
          <w:rFonts w:cs="Arial"/>
          <w:bCs/>
          <w:color w:val="000000"/>
        </w:rPr>
      </w:pPr>
      <w:r w:rsidRPr="006E1493">
        <w:rPr>
          <w:rFonts w:cs="Arial"/>
          <w:bCs/>
          <w:color w:val="000000"/>
        </w:rPr>
        <w:t xml:space="preserve">Preston </w:t>
      </w:r>
    </w:p>
    <w:p w:rsidR="004F3042" w:rsidRPr="006E1493" w:rsidRDefault="004F3042" w:rsidP="004F3042">
      <w:pPr>
        <w:autoSpaceDE w:val="0"/>
        <w:autoSpaceDN w:val="0"/>
        <w:adjustRightInd w:val="0"/>
        <w:rPr>
          <w:rFonts w:cs="Arial"/>
          <w:bCs/>
          <w:color w:val="000000"/>
        </w:rPr>
      </w:pPr>
      <w:r w:rsidRPr="006E1493">
        <w:rPr>
          <w:rFonts w:cs="Arial"/>
          <w:bCs/>
          <w:color w:val="000000"/>
        </w:rPr>
        <w:t>PR1 0LD</w:t>
      </w:r>
    </w:p>
    <w:p w:rsidR="004F3042" w:rsidRPr="006E1493" w:rsidRDefault="004F3042" w:rsidP="004F3042">
      <w:pPr>
        <w:autoSpaceDE w:val="0"/>
        <w:autoSpaceDN w:val="0"/>
        <w:adjustRightInd w:val="0"/>
        <w:rPr>
          <w:rFonts w:cs="Arial"/>
          <w:bCs/>
          <w:color w:val="000000"/>
        </w:rPr>
      </w:pPr>
    </w:p>
    <w:p w:rsidR="004F3042" w:rsidRDefault="004F3042" w:rsidP="004F3042">
      <w:pPr>
        <w:autoSpaceDE w:val="0"/>
        <w:autoSpaceDN w:val="0"/>
        <w:adjustRightInd w:val="0"/>
        <w:rPr>
          <w:rFonts w:cs="Arial"/>
          <w:bCs/>
          <w:color w:val="000000"/>
        </w:rPr>
      </w:pPr>
      <w:r>
        <w:rPr>
          <w:rFonts w:cs="Arial"/>
          <w:bCs/>
          <w:color w:val="000000"/>
        </w:rPr>
        <w:t xml:space="preserve">Telephone:  </w:t>
      </w:r>
      <w:r w:rsidRPr="006E1493">
        <w:rPr>
          <w:rFonts w:cs="Arial"/>
          <w:bCs/>
          <w:color w:val="000000"/>
        </w:rPr>
        <w:t>01772 530530</w:t>
      </w:r>
    </w:p>
    <w:p w:rsidR="004F3042" w:rsidRPr="006E1493" w:rsidRDefault="004F3042" w:rsidP="004F3042">
      <w:pPr>
        <w:autoSpaceDE w:val="0"/>
        <w:autoSpaceDN w:val="0"/>
        <w:adjustRightInd w:val="0"/>
        <w:rPr>
          <w:rFonts w:cs="Arial"/>
          <w:bCs/>
          <w:color w:val="000000"/>
        </w:rPr>
      </w:pPr>
    </w:p>
    <w:p w:rsidR="004F3042" w:rsidRDefault="004F3042" w:rsidP="004F3042">
      <w:pPr>
        <w:autoSpaceDE w:val="0"/>
        <w:autoSpaceDN w:val="0"/>
        <w:adjustRightInd w:val="0"/>
        <w:rPr>
          <w:rFonts w:cs="Arial"/>
          <w:bCs/>
          <w:color w:val="000000"/>
        </w:rPr>
      </w:pPr>
      <w:r>
        <w:rPr>
          <w:rFonts w:cs="Arial"/>
          <w:bCs/>
          <w:color w:val="000000"/>
        </w:rPr>
        <w:t xml:space="preserve">E-mail: </w:t>
      </w:r>
      <w:hyperlink r:id="rId15" w:history="1">
        <w:r w:rsidRPr="00E640BD">
          <w:rPr>
            <w:rStyle w:val="Hyperlink"/>
            <w:rFonts w:cs="Arial"/>
            <w:bCs/>
          </w:rPr>
          <w:t>connect2pensions@oneconnectlimited.co.uk</w:t>
        </w:r>
      </w:hyperlink>
      <w:r>
        <w:rPr>
          <w:rFonts w:cs="Arial"/>
          <w:bCs/>
          <w:color w:val="000000"/>
        </w:rPr>
        <w:t xml:space="preserve"> </w:t>
      </w:r>
      <w:hyperlink r:id="rId16" w:history="1"/>
    </w:p>
    <w:p w:rsidR="0092190C" w:rsidRDefault="001C31F0" w:rsidP="0092190C">
      <w:pPr>
        <w:pStyle w:val="Pa0"/>
        <w:rPr>
          <w:rFonts w:ascii="Arial" w:hAnsi="Arial" w:cs="Arial"/>
          <w:color w:val="000000"/>
        </w:rPr>
      </w:pPr>
      <w:hyperlink r:id="rId17" w:history="1">
        <w:r w:rsidR="004F3042" w:rsidRPr="000B219A">
          <w:rPr>
            <w:rStyle w:val="Hyperlink"/>
          </w:rPr>
          <w:t>http://www.yourpensionservice.org.uk</w:t>
        </w:r>
      </w:hyperlink>
    </w:p>
    <w:p w:rsidR="000B219A" w:rsidRPr="000B219A" w:rsidRDefault="000B219A" w:rsidP="000B219A">
      <w:pPr>
        <w:rPr>
          <w:rFonts w:cs="Arial"/>
          <w:color w:val="FF0000"/>
        </w:rPr>
      </w:pPr>
    </w:p>
    <w:p w:rsidR="00897DBF" w:rsidRDefault="0017515A">
      <w:pPr>
        <w:pStyle w:val="Heading1"/>
        <w:spacing w:before="0" w:after="0"/>
        <w:rPr>
          <w:highlight w:val="yellow"/>
        </w:rPr>
      </w:pPr>
      <w:r w:rsidRPr="00B07458">
        <w:rPr>
          <w:snapToGrid w:val="0"/>
          <w:color w:val="000000"/>
          <w:kern w:val="0"/>
          <w:sz w:val="24"/>
          <w:szCs w:val="24"/>
          <w:highlight w:val="yellow"/>
          <w:lang w:eastAsia="en-US"/>
        </w:rPr>
        <w:br w:type="page"/>
      </w:r>
    </w:p>
    <w:p w:rsidR="00897DBF" w:rsidRDefault="001D4D59">
      <w:pPr>
        <w:numPr>
          <w:ilvl w:val="0"/>
          <w:numId w:val="52"/>
        </w:numPr>
        <w:rPr>
          <w:b/>
          <w:snapToGrid w:val="0"/>
          <w:sz w:val="28"/>
          <w:lang w:eastAsia="en-US"/>
        </w:rPr>
      </w:pPr>
      <w:r w:rsidRPr="00C7674F">
        <w:rPr>
          <w:b/>
          <w:snapToGrid w:val="0"/>
          <w:sz w:val="28"/>
          <w:lang w:eastAsia="en-US"/>
        </w:rPr>
        <w:t>Knowledge &amp; Skills Framework</w:t>
      </w:r>
    </w:p>
    <w:p w:rsidR="001D4D59" w:rsidRDefault="001D4D59" w:rsidP="001D4D59">
      <w:pPr>
        <w:ind w:left="360"/>
        <w:rPr>
          <w:b/>
          <w:snapToGrid w:val="0"/>
          <w:sz w:val="28"/>
          <w:lang w:eastAsia="en-US"/>
        </w:rPr>
      </w:pPr>
    </w:p>
    <w:p w:rsidR="001D4D59" w:rsidRDefault="001D4D59" w:rsidP="001D4D59">
      <w:pPr>
        <w:rPr>
          <w:b/>
          <w:snapToGrid w:val="0"/>
          <w:sz w:val="28"/>
          <w:lang w:eastAsia="en-US"/>
        </w:rPr>
      </w:pPr>
    </w:p>
    <w:p w:rsidR="001D4D59" w:rsidRPr="00F236D9" w:rsidRDefault="001D4D59" w:rsidP="001D4D59">
      <w:pPr>
        <w:rPr>
          <w:b/>
        </w:rPr>
      </w:pPr>
      <w:r w:rsidRPr="00F236D9">
        <w:rPr>
          <w:b/>
        </w:rPr>
        <w:t>CIPFA Pensions Finance Knowledge and Skills</w:t>
      </w:r>
      <w:r>
        <w:rPr>
          <w:b/>
        </w:rPr>
        <w:t xml:space="preserve"> Framework</w:t>
      </w:r>
    </w:p>
    <w:p w:rsidR="001D4D59" w:rsidRDefault="001D4D59" w:rsidP="001D4D59"/>
    <w:p w:rsidR="001D4D59" w:rsidRPr="00A76CCE" w:rsidRDefault="001D4D59" w:rsidP="001D4D59">
      <w:r>
        <w:t xml:space="preserve">The </w:t>
      </w:r>
      <w:r w:rsidRPr="00A76CCE">
        <w:t>C</w:t>
      </w:r>
      <w:r>
        <w:t xml:space="preserve">hartered </w:t>
      </w:r>
      <w:r w:rsidRPr="00A76CCE">
        <w:t>I</w:t>
      </w:r>
      <w:r>
        <w:t xml:space="preserve">nstitute of </w:t>
      </w:r>
      <w:r w:rsidRPr="00A76CCE">
        <w:t>P</w:t>
      </w:r>
      <w:r>
        <w:t xml:space="preserve">ublic </w:t>
      </w:r>
      <w:r w:rsidRPr="00A76CCE">
        <w:t>F</w:t>
      </w:r>
      <w:r>
        <w:t xml:space="preserve">inance and </w:t>
      </w:r>
      <w:r w:rsidRPr="00A76CCE">
        <w:t>A</w:t>
      </w:r>
      <w:r>
        <w:t xml:space="preserve">ccountancy (CIPFA) </w:t>
      </w:r>
      <w:r w:rsidRPr="00A76CCE">
        <w:t xml:space="preserve">published its code of Practice on public sector pensions finance knowledge and skills in October 2011. The Code has been devised in response to Lord Hutton's recommendation that every public sector pension scheme (and individual LGPS fund) should have a properly constituted, trained and competent "Pensions Board".  It also represents a key element in complying with the </w:t>
      </w:r>
      <w:r>
        <w:t xml:space="preserve">relevant </w:t>
      </w:r>
      <w:r>
        <w:rPr>
          <w:rFonts w:cs="Arial"/>
        </w:rPr>
        <w:t>principle</w:t>
      </w:r>
      <w:r w:rsidR="00DC060B">
        <w:rPr>
          <w:rFonts w:cs="Arial"/>
        </w:rPr>
        <w:t>s</w:t>
      </w:r>
      <w:r>
        <w:rPr>
          <w:rFonts w:cs="Arial"/>
        </w:rPr>
        <w:t xml:space="preserve"> of investment practice laid out in Local Government Pension Scheme (Management and Investment of funds) regulations 2009 regarding </w:t>
      </w:r>
      <w:r w:rsidRPr="00A76CCE">
        <w:t xml:space="preserve">Effective Decision making. </w:t>
      </w:r>
    </w:p>
    <w:p w:rsidR="001D4D59" w:rsidRPr="00A76CCE" w:rsidRDefault="001D4D59" w:rsidP="001D4D59"/>
    <w:p w:rsidR="001D4D59" w:rsidRPr="00A76CCE" w:rsidRDefault="001D4D59" w:rsidP="001D4D59">
      <w:r w:rsidRPr="00A76CCE">
        <w:t xml:space="preserve">The Code is intended to be used in conjunction with the CIPFA Pension Finance Knowledge and Skills Frameworks </w:t>
      </w:r>
      <w:r>
        <w:t xml:space="preserve">(KSF) </w:t>
      </w:r>
      <w:r w:rsidRPr="00A76CCE">
        <w:t>which enhances where necessary, levels of knowledge and skill held by all those</w:t>
      </w:r>
      <w:r w:rsidR="004A64B1">
        <w:t>, whether</w:t>
      </w:r>
      <w:r w:rsidRPr="00A76CCE">
        <w:t xml:space="preserve"> </w:t>
      </w:r>
      <w:r w:rsidR="007812A1">
        <w:t>members or officers</w:t>
      </w:r>
      <w:r w:rsidR="004A64B1">
        <w:t xml:space="preserve">, </w:t>
      </w:r>
      <w:r w:rsidRPr="00A76CCE">
        <w:t>involved in the management and oversight of public sector pension funds.</w:t>
      </w:r>
    </w:p>
    <w:p w:rsidR="001D4D59" w:rsidRPr="00A76CCE" w:rsidRDefault="001D4D59" w:rsidP="001D4D59"/>
    <w:p w:rsidR="001D4D59" w:rsidRPr="00A76CCE" w:rsidRDefault="001D4D59" w:rsidP="001D4D59">
      <w:r w:rsidRPr="00A76CCE">
        <w:t>The Code became effective from 1 April 2012 and is mandatory for CIPFA members as part of their standards of professional practice, and was adopted by the Pension Fund Committee at its meeting on 3 February 2012 in order to ensure good governance and training practices, and to support the Treasurer who, as a CIPFA member, has a professional requirement to comply with the Code.</w:t>
      </w:r>
    </w:p>
    <w:p w:rsidR="001D4D59" w:rsidRPr="00A76CCE" w:rsidRDefault="001D4D59" w:rsidP="001D4D59"/>
    <w:p w:rsidR="001D4D59" w:rsidRDefault="001D4D59" w:rsidP="001D4D59">
      <w:r w:rsidRPr="00A76CCE">
        <w:t xml:space="preserve">The Council currently subscribes to a web-based knowledge and skills self assessment tool, developed by Hymans Robertson in conjunction with the CIPFA Pensions Network, to enable officers and elected members to help identify </w:t>
      </w:r>
      <w:r w:rsidR="007812A1">
        <w:t>any</w:t>
      </w:r>
      <w:r w:rsidRPr="00A76CCE">
        <w:t xml:space="preserve"> gaps</w:t>
      </w:r>
      <w:r w:rsidR="007812A1">
        <w:t xml:space="preserve"> in their knowledge or skills</w:t>
      </w:r>
      <w:r w:rsidRPr="00A76CCE">
        <w:t>.</w:t>
      </w:r>
    </w:p>
    <w:p w:rsidR="001D4D59" w:rsidRDefault="001D4D59" w:rsidP="001D4D59"/>
    <w:p w:rsidR="001D4D59" w:rsidRPr="002A5892" w:rsidRDefault="001D4D59" w:rsidP="001D4D59">
      <w:r w:rsidRPr="002A5892">
        <w:t xml:space="preserve">The </w:t>
      </w:r>
      <w:r>
        <w:t xml:space="preserve">toolkit comprises </w:t>
      </w:r>
      <w:r w:rsidRPr="002A5892">
        <w:t>six areas of core technical requirements for both officers and members:</w:t>
      </w:r>
    </w:p>
    <w:p w:rsidR="001D4D59" w:rsidRPr="002A5892" w:rsidRDefault="001D4D59" w:rsidP="001D4D59"/>
    <w:p w:rsidR="001D4D59" w:rsidRPr="002A5892" w:rsidRDefault="001D4D59" w:rsidP="001D4D59">
      <w:pPr>
        <w:numPr>
          <w:ilvl w:val="0"/>
          <w:numId w:val="56"/>
        </w:numPr>
      </w:pPr>
      <w:r w:rsidRPr="002A5892">
        <w:t>Pensions legislation and governance context;</w:t>
      </w:r>
    </w:p>
    <w:p w:rsidR="001D4D59" w:rsidRPr="002A5892" w:rsidRDefault="001D4D59" w:rsidP="001D4D59">
      <w:pPr>
        <w:numPr>
          <w:ilvl w:val="0"/>
          <w:numId w:val="56"/>
        </w:numPr>
      </w:pPr>
      <w:r w:rsidRPr="002A5892">
        <w:t>Pension accounting and auditing standards;</w:t>
      </w:r>
    </w:p>
    <w:p w:rsidR="001D4D59" w:rsidRPr="002A5892" w:rsidRDefault="001D4D59" w:rsidP="001D4D59">
      <w:pPr>
        <w:numPr>
          <w:ilvl w:val="0"/>
          <w:numId w:val="56"/>
        </w:numPr>
      </w:pPr>
      <w:r w:rsidRPr="002A5892">
        <w:t>Financial services procurement and relationship management;</w:t>
      </w:r>
    </w:p>
    <w:p w:rsidR="001D4D59" w:rsidRPr="002A5892" w:rsidRDefault="001D4D59" w:rsidP="001D4D59">
      <w:pPr>
        <w:numPr>
          <w:ilvl w:val="0"/>
          <w:numId w:val="56"/>
        </w:numPr>
      </w:pPr>
      <w:r w:rsidRPr="002A5892">
        <w:t>Investment performance and risk management;</w:t>
      </w:r>
    </w:p>
    <w:p w:rsidR="001D4D59" w:rsidRPr="002A5892" w:rsidRDefault="001D4D59" w:rsidP="001D4D59">
      <w:pPr>
        <w:numPr>
          <w:ilvl w:val="0"/>
          <w:numId w:val="56"/>
        </w:numPr>
      </w:pPr>
      <w:r w:rsidRPr="002A5892">
        <w:t>Financial markets and products knowledge;</w:t>
      </w:r>
    </w:p>
    <w:p w:rsidR="001D4D59" w:rsidRPr="002A5892" w:rsidRDefault="001D4D59" w:rsidP="001D4D59">
      <w:pPr>
        <w:numPr>
          <w:ilvl w:val="0"/>
          <w:numId w:val="56"/>
        </w:numPr>
      </w:pPr>
      <w:r w:rsidRPr="002A5892">
        <w:t>Actuarial methods, standards and practices.</w:t>
      </w:r>
    </w:p>
    <w:p w:rsidR="001D4D59" w:rsidRPr="002A5892" w:rsidRDefault="001D4D59" w:rsidP="001D4D59"/>
    <w:p w:rsidR="001D4D59" w:rsidRPr="002A5892" w:rsidRDefault="001D4D59" w:rsidP="001D4D59">
      <w:r w:rsidRPr="002A5892">
        <w:t xml:space="preserve">The frameworks are intended to have two primary uses, as a tool for organisations to determine whether </w:t>
      </w:r>
      <w:r w:rsidR="007812A1">
        <w:t>they have</w:t>
      </w:r>
      <w:r w:rsidRPr="002A5892">
        <w:t xml:space="preserve"> the right skill mix to meet their pension scheme financial management needs and as an assessment tool for individuals to measure their progress and plan their development.</w:t>
      </w:r>
    </w:p>
    <w:p w:rsidR="001D4D59" w:rsidRDefault="001D4D59" w:rsidP="001D4D59"/>
    <w:p w:rsidR="001D4D59" w:rsidRDefault="001D4D59" w:rsidP="001D4D59">
      <w:r w:rsidRPr="00A76CCE">
        <w:t xml:space="preserve">This process </w:t>
      </w:r>
      <w:r>
        <w:t xml:space="preserve">was initiated </w:t>
      </w:r>
      <w:r w:rsidRPr="00A76CCE">
        <w:t xml:space="preserve">for officers </w:t>
      </w:r>
      <w:r>
        <w:t xml:space="preserve">in 2012/13 </w:t>
      </w:r>
      <w:r w:rsidRPr="00A76CCE">
        <w:t>and needs to be fully completed for all relevant officers and members</w:t>
      </w:r>
      <w:r>
        <w:t>. O</w:t>
      </w:r>
      <w:r w:rsidRPr="00A76CCE">
        <w:t>nce completed, a training programme for both members and officers will be developed, incorporating the training materials available in the toolkit, relevant seminars, conferences and internal training days.</w:t>
      </w:r>
    </w:p>
    <w:p w:rsidR="001D4D59" w:rsidRDefault="001D4D59" w:rsidP="001D4D59"/>
    <w:p w:rsidR="001D4D59" w:rsidRDefault="001D4D59" w:rsidP="001D4D59">
      <w:r>
        <w:t xml:space="preserve">The implementation of the KSF has not advanced as quickly as intended, and it was decided to delay involving members of the Pension Fund Committee until after its </w:t>
      </w:r>
      <w:r w:rsidRPr="00A76CCE">
        <w:t xml:space="preserve">reconstitution </w:t>
      </w:r>
      <w:r>
        <w:t xml:space="preserve">following </w:t>
      </w:r>
      <w:r w:rsidRPr="00A76CCE">
        <w:t>the County Council elections in May 2013.</w:t>
      </w:r>
      <w:r>
        <w:t xml:space="preserve"> (Since then, members of the new Committee and relevant </w:t>
      </w:r>
    </w:p>
    <w:p w:rsidR="001D4D59" w:rsidRDefault="001D4D59" w:rsidP="001D4D59"/>
    <w:p w:rsidR="001D4D59" w:rsidRDefault="001D4D59" w:rsidP="001D4D59"/>
    <w:p w:rsidR="001D4D59" w:rsidRDefault="001D4D59" w:rsidP="001D4D59">
      <w:proofErr w:type="gramStart"/>
      <w:r>
        <w:t>officers</w:t>
      </w:r>
      <w:proofErr w:type="gramEnd"/>
      <w:r>
        <w:t xml:space="preserve"> have been provided access to the toolkit, and a modular programme established to assess particular areas of knowledge throughout the year. This will be supplemented with </w:t>
      </w:r>
    </w:p>
    <w:p w:rsidR="001D4D59" w:rsidRDefault="001D4D59" w:rsidP="001D4D59">
      <w:proofErr w:type="gramStart"/>
      <w:r>
        <w:t>regular</w:t>
      </w:r>
      <w:proofErr w:type="gramEnd"/>
      <w:r>
        <w:t xml:space="preserve"> training and awareness sessions linked to Committee meetings and the identification of ad hoc training opportunities.)</w:t>
      </w:r>
    </w:p>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1D4D59" w:rsidRDefault="001D4D59" w:rsidP="001D4D59"/>
    <w:p w:rsidR="00897DBF" w:rsidRDefault="001D4D59">
      <w:pPr>
        <w:ind w:left="360"/>
      </w:pPr>
      <w:r>
        <w:rPr>
          <w:b/>
          <w:sz w:val="28"/>
          <w:szCs w:val="28"/>
        </w:rPr>
        <w:br w:type="page"/>
      </w:r>
    </w:p>
    <w:p w:rsidR="00897DBF" w:rsidRDefault="00670114">
      <w:pPr>
        <w:numPr>
          <w:ilvl w:val="0"/>
          <w:numId w:val="52"/>
        </w:numPr>
      </w:pPr>
      <w:r w:rsidRPr="00670114">
        <w:rPr>
          <w:b/>
          <w:sz w:val="28"/>
          <w:szCs w:val="28"/>
        </w:rPr>
        <w:t>Investment Policy and Performance</w:t>
      </w:r>
    </w:p>
    <w:p w:rsidR="00C333F3" w:rsidRPr="003A51FC" w:rsidRDefault="00C333F3" w:rsidP="00C333F3">
      <w:pPr>
        <w:rPr>
          <w:b/>
          <w:sz w:val="28"/>
          <w:szCs w:val="28"/>
          <w:highlight w:val="yellow"/>
        </w:rPr>
      </w:pPr>
    </w:p>
    <w:p w:rsidR="00CF1D42" w:rsidRPr="00281D11" w:rsidRDefault="00CF1D42" w:rsidP="00CF1D42">
      <w:pPr>
        <w:autoSpaceDE w:val="0"/>
        <w:autoSpaceDN w:val="0"/>
        <w:adjustRightInd w:val="0"/>
        <w:rPr>
          <w:rFonts w:ascii="Arial-BoldMT" w:hAnsi="Arial-BoldMT" w:cs="Arial-BoldMT"/>
          <w:b/>
          <w:bCs/>
          <w:szCs w:val="24"/>
        </w:rPr>
      </w:pPr>
      <w:r w:rsidRPr="00281D11">
        <w:rPr>
          <w:rFonts w:ascii="Arial-BoldMT" w:hAnsi="Arial-BoldMT" w:cs="Arial-BoldMT"/>
          <w:b/>
          <w:bCs/>
          <w:szCs w:val="24"/>
        </w:rPr>
        <w:t>Structure</w:t>
      </w:r>
    </w:p>
    <w:p w:rsidR="00CF1D42" w:rsidRPr="00281D11" w:rsidRDefault="00CF1D42" w:rsidP="00CF1D42">
      <w:pPr>
        <w:autoSpaceDE w:val="0"/>
        <w:autoSpaceDN w:val="0"/>
        <w:adjustRightInd w:val="0"/>
        <w:rPr>
          <w:rFonts w:ascii="Arial-BoldMT" w:hAnsi="Arial-BoldMT" w:cs="Arial-BoldMT"/>
          <w:b/>
          <w:bCs/>
          <w:szCs w:val="24"/>
        </w:rPr>
      </w:pPr>
    </w:p>
    <w:p w:rsidR="00CF1D42" w:rsidRPr="00134FD2" w:rsidRDefault="00CF1D42" w:rsidP="00CF1D42">
      <w:pPr>
        <w:autoSpaceDE w:val="0"/>
        <w:autoSpaceDN w:val="0"/>
        <w:adjustRightInd w:val="0"/>
        <w:rPr>
          <w:rFonts w:ascii="ArialMT" w:hAnsi="ArialMT" w:cs="ArialMT"/>
        </w:rPr>
      </w:pPr>
      <w:r w:rsidRPr="00134FD2">
        <w:rPr>
          <w:rFonts w:ascii="ArialMT" w:hAnsi="ArialMT" w:cs="ArialMT"/>
        </w:rPr>
        <w:t xml:space="preserve">There are three levels of responsibility for the investment management of the Lancashire County Pension Fund. First, the county council’s Pension Fund Committee takes major policy decisions and monitors overall performance. Second, the Investment Panel recommends specific investment allocations in line with the Committee's policy decisions and monitors the activity of the Fund’s managers. Third, the investment managers fix precise weightings and select stock within the allocations set by the Panel and Committee. </w:t>
      </w:r>
      <w:r w:rsidR="00E1180A">
        <w:rPr>
          <w:rFonts w:ascii="ArialMT" w:hAnsi="ArialMT" w:cs="ArialMT"/>
        </w:rPr>
        <w:t xml:space="preserve"> </w:t>
      </w:r>
      <w:r w:rsidRPr="00134FD2">
        <w:rPr>
          <w:rFonts w:ascii="ArialMT" w:hAnsi="ArialMT" w:cs="ArialMT"/>
        </w:rPr>
        <w:t xml:space="preserve">A more detailed description of the responsibilities of the Committee, its Sub-Committees and the Panel is found in </w:t>
      </w:r>
      <w:proofErr w:type="gramStart"/>
      <w:r w:rsidRPr="00134FD2">
        <w:rPr>
          <w:rFonts w:ascii="ArialMT" w:hAnsi="ArialMT" w:cs="ArialMT"/>
        </w:rPr>
        <w:t xml:space="preserve">the </w:t>
      </w:r>
      <w:r w:rsidR="008846ED">
        <w:rPr>
          <w:rFonts w:ascii="ArialMT" w:hAnsi="ArialMT" w:cs="ArialMT"/>
        </w:rPr>
        <w:t xml:space="preserve"> </w:t>
      </w:r>
      <w:proofErr w:type="gramEnd"/>
      <w:r w:rsidR="001C31F0">
        <w:rPr>
          <w:rFonts w:ascii="ArialMT" w:hAnsi="ArialMT" w:cs="ArialMT"/>
        </w:rPr>
        <w:fldChar w:fldCharType="begin"/>
      </w:r>
      <w:r w:rsidR="008846ED">
        <w:rPr>
          <w:rFonts w:ascii="ArialMT" w:hAnsi="ArialMT" w:cs="ArialMT"/>
        </w:rPr>
        <w:instrText xml:space="preserve"> HYPERLINK "http://www.yourpensionservice.org.uk/local_government/index.asp?siteid=5921&amp;pageid=33736&amp;e=e" </w:instrText>
      </w:r>
      <w:r w:rsidR="001C31F0">
        <w:rPr>
          <w:rFonts w:ascii="ArialMT" w:hAnsi="ArialMT" w:cs="ArialMT"/>
        </w:rPr>
        <w:fldChar w:fldCharType="separate"/>
      </w:r>
      <w:r w:rsidR="00670114">
        <w:rPr>
          <w:rStyle w:val="Hyperlink"/>
          <w:rFonts w:ascii="ArialMT" w:hAnsi="ArialMT" w:cs="ArialMT"/>
        </w:rPr>
        <w:t>Governance Policy Statement</w:t>
      </w:r>
      <w:r w:rsidR="001C31F0">
        <w:rPr>
          <w:rFonts w:ascii="ArialMT" w:hAnsi="ArialMT" w:cs="ArialMT"/>
        </w:rPr>
        <w:fldChar w:fldCharType="end"/>
      </w:r>
    </w:p>
    <w:p w:rsidR="00CF1D42" w:rsidRPr="00134FD2" w:rsidRDefault="00CF1D42" w:rsidP="00CF1D42">
      <w:pPr>
        <w:autoSpaceDE w:val="0"/>
        <w:autoSpaceDN w:val="0"/>
        <w:adjustRightInd w:val="0"/>
        <w:rPr>
          <w:rFonts w:ascii="ArialMT" w:hAnsi="ArialMT" w:cs="ArialMT"/>
        </w:rPr>
      </w:pPr>
    </w:p>
    <w:p w:rsidR="003872DB" w:rsidRDefault="00CF1D42" w:rsidP="00CF1D42">
      <w:pPr>
        <w:autoSpaceDE w:val="0"/>
        <w:autoSpaceDN w:val="0"/>
        <w:adjustRightInd w:val="0"/>
        <w:rPr>
          <w:rFonts w:ascii="ArialMT" w:hAnsi="ArialMT" w:cs="ArialMT"/>
        </w:rPr>
      </w:pPr>
      <w:r w:rsidRPr="00134FD2">
        <w:rPr>
          <w:rFonts w:ascii="ArialMT" w:hAnsi="ArialMT" w:cs="ArialMT"/>
        </w:rPr>
        <w:t xml:space="preserve">The Panel consists of two independent external investment advisers, the Chief Investment Officer, the Deputy County Treasurer and the Treasurer to the Pension Fund, who acts </w:t>
      </w:r>
      <w:r w:rsidRPr="000B03B4">
        <w:rPr>
          <w:rFonts w:ascii="ArialMT" w:hAnsi="ArialMT" w:cs="ArialMT"/>
        </w:rPr>
        <w:t xml:space="preserve">as Chair. The investments of the Fund are currently principally managed by five specialist global equity managers, one external index-tracking manager (multi-asset) and in-house provision. The internal team carries out its own treasury management and holds investments in infrastructure funds and non-investment grade credit funds directly.  </w:t>
      </w:r>
    </w:p>
    <w:p w:rsidR="003872DB" w:rsidRDefault="003872DB" w:rsidP="00CF1D42">
      <w:pPr>
        <w:autoSpaceDE w:val="0"/>
        <w:autoSpaceDN w:val="0"/>
        <w:adjustRightInd w:val="0"/>
        <w:rPr>
          <w:rFonts w:ascii="ArialMT" w:hAnsi="ArialMT" w:cs="ArialMT"/>
        </w:rPr>
      </w:pPr>
    </w:p>
    <w:p w:rsidR="003872DB" w:rsidRDefault="003872DB" w:rsidP="00CF1D42">
      <w:pPr>
        <w:autoSpaceDE w:val="0"/>
        <w:autoSpaceDN w:val="0"/>
        <w:adjustRightInd w:val="0"/>
        <w:rPr>
          <w:rFonts w:ascii="ArialMT" w:hAnsi="ArialMT" w:cs="ArialMT"/>
        </w:rPr>
      </w:pPr>
      <w:r>
        <w:rPr>
          <w:rFonts w:ascii="ArialMT" w:hAnsi="ArialMT" w:cs="ArialMT"/>
        </w:rPr>
        <w:t>A summary of portfolio values by investment manager, as at 31</w:t>
      </w:r>
      <w:r w:rsidR="00B07E97">
        <w:rPr>
          <w:rFonts w:ascii="ArialMT" w:hAnsi="ArialMT" w:cs="ArialMT"/>
        </w:rPr>
        <w:t xml:space="preserve"> </w:t>
      </w:r>
      <w:r>
        <w:rPr>
          <w:rFonts w:ascii="ArialMT" w:hAnsi="ArialMT" w:cs="ArialMT"/>
        </w:rPr>
        <w:t>March 2013, is shown below.</w:t>
      </w:r>
      <w:r w:rsidRPr="000B03B4" w:rsidDel="003872DB">
        <w:rPr>
          <w:rFonts w:ascii="ArialMT" w:hAnsi="ArialMT" w:cs="ArialMT"/>
        </w:rPr>
        <w:t xml:space="preserve"> </w:t>
      </w:r>
    </w:p>
    <w:p w:rsidR="003872DB" w:rsidRDefault="003872DB" w:rsidP="00CF1D42">
      <w:pPr>
        <w:autoSpaceDE w:val="0"/>
        <w:autoSpaceDN w:val="0"/>
        <w:adjustRightInd w:val="0"/>
        <w:rPr>
          <w:rFonts w:ascii="ArialMT" w:hAnsi="ArialMT" w:cs="ArialMT"/>
        </w:rPr>
      </w:pPr>
    </w:p>
    <w:p w:rsidR="00897DBF" w:rsidRDefault="00897DBF">
      <w:pPr>
        <w:autoSpaceDE w:val="0"/>
        <w:autoSpaceDN w:val="0"/>
        <w:adjustRightInd w:val="0"/>
        <w:jc w:val="center"/>
        <w:rPr>
          <w:rFonts w:ascii="ArialMT" w:hAnsi="ArialMT" w:cs="ArialMT"/>
        </w:rPr>
      </w:pPr>
      <w:r>
        <w:rPr>
          <w:rFonts w:ascii="ArialMT" w:hAnsi="ArialMT" w:cs="ArialMT"/>
          <w:noProof/>
        </w:rPr>
        <w:drawing>
          <wp:inline distT="0" distB="0" distL="0" distR="0">
            <wp:extent cx="6600825" cy="3543300"/>
            <wp:effectExtent l="1905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773F" w:rsidRDefault="00F6773F" w:rsidP="00CF1D42">
      <w:pPr>
        <w:autoSpaceDE w:val="0"/>
        <w:autoSpaceDN w:val="0"/>
        <w:adjustRightInd w:val="0"/>
        <w:rPr>
          <w:rFonts w:ascii="ArialMT" w:hAnsi="ArialMT" w:cs="ArialMT"/>
        </w:rPr>
      </w:pPr>
    </w:p>
    <w:p w:rsidR="00CF1D42" w:rsidRPr="00942C90" w:rsidRDefault="00CF1D42" w:rsidP="00CF1D42">
      <w:pPr>
        <w:autoSpaceDE w:val="0"/>
        <w:autoSpaceDN w:val="0"/>
        <w:adjustRightInd w:val="0"/>
        <w:rPr>
          <w:rFonts w:ascii="ArialMT" w:hAnsi="ArialMT" w:cs="ArialMT"/>
        </w:rPr>
      </w:pPr>
    </w:p>
    <w:p w:rsidR="00CF1D42" w:rsidRDefault="00CF1D42" w:rsidP="00CF1D42">
      <w:pPr>
        <w:autoSpaceDE w:val="0"/>
        <w:autoSpaceDN w:val="0"/>
        <w:adjustRightInd w:val="0"/>
        <w:rPr>
          <w:rFonts w:ascii="TT104929o00" w:hAnsi="TT104929o00" w:cs="TT104929o00"/>
          <w:szCs w:val="24"/>
        </w:rPr>
      </w:pPr>
      <w:r>
        <w:rPr>
          <w:rFonts w:ascii="TT104929o00" w:hAnsi="TT104929o00" w:cs="TT104929o00"/>
          <w:szCs w:val="24"/>
        </w:rPr>
        <w:t xml:space="preserve">During 2012/13 the implementation of the revised investment strategy, agreed in 2010, continued.  The Fund successfully completed the transition to the new global equities investment Managers with effect from 1 October 2012.  The three existing equity mandates with JP Morgan (UK equities), Newton (Overseas equities) and BNY Mellon (Balanced tracking equity mandate) were sold and replaced by mandates with 5 managers each with an unconstrained global equity mandate (Baillie Gifford, MFS, Morgan Stanley, Robeco and </w:t>
      </w:r>
      <w:r w:rsidR="00E67EAE">
        <w:rPr>
          <w:rFonts w:ascii="TT104929o00" w:hAnsi="TT104929o00" w:cs="TT104929o00"/>
          <w:szCs w:val="24"/>
        </w:rPr>
        <w:t>NGAM</w:t>
      </w:r>
      <w:r>
        <w:rPr>
          <w:rFonts w:ascii="TT104929o00" w:hAnsi="TT104929o00" w:cs="TT104929o00"/>
          <w:szCs w:val="24"/>
        </w:rPr>
        <w:t>) totalling £1.5 bn.</w:t>
      </w:r>
    </w:p>
    <w:p w:rsidR="00CF1D42" w:rsidRDefault="00CF1D42" w:rsidP="00CF1D42">
      <w:pPr>
        <w:spacing w:before="240" w:after="240" w:line="276" w:lineRule="auto"/>
      </w:pPr>
      <w:r>
        <w:lastRenderedPageBreak/>
        <w:t>T</w:t>
      </w:r>
      <w:r w:rsidRPr="00855D83">
        <w:t xml:space="preserve">he transition of credit and fixed income assets has been undertaken by </w:t>
      </w:r>
      <w:r>
        <w:t xml:space="preserve">the appointed transition manager, </w:t>
      </w:r>
      <w:r w:rsidRPr="00855D83">
        <w:t>B</w:t>
      </w:r>
      <w:r>
        <w:t xml:space="preserve">ank of </w:t>
      </w:r>
      <w:r w:rsidRPr="00855D83">
        <w:t>N</w:t>
      </w:r>
      <w:r>
        <w:t xml:space="preserve">ew </w:t>
      </w:r>
      <w:r w:rsidRPr="00855D83">
        <w:t>Y</w:t>
      </w:r>
      <w:r>
        <w:t xml:space="preserve">ork </w:t>
      </w:r>
      <w:r w:rsidRPr="00855D83">
        <w:t>M</w:t>
      </w:r>
      <w:r>
        <w:t>ellon</w:t>
      </w:r>
      <w:r w:rsidRPr="00855D83">
        <w:t>. The resulting proceeds (£9</w:t>
      </w:r>
      <w:r w:rsidR="009D2D5C">
        <w:t>29</w:t>
      </w:r>
      <w:r w:rsidRPr="00855D83">
        <w:t>m) are currently residing in a transition account in advance of future investment decisions being made</w:t>
      </w:r>
      <w:r>
        <w:t xml:space="preserve"> into less commoditised and more specialist funds, including but not limited to secured lending, long-term lending, non-sterling lending, investment opportunities driven by changes to banking regulations, and index linked loans giving inflation protection</w:t>
      </w:r>
      <w:r w:rsidRPr="00855D83">
        <w:t>.</w:t>
      </w:r>
    </w:p>
    <w:p w:rsidR="00CF1D42" w:rsidRPr="005C48F2" w:rsidRDefault="00CF1D42" w:rsidP="00CF1D42">
      <w:pPr>
        <w:autoSpaceDE w:val="0"/>
        <w:autoSpaceDN w:val="0"/>
        <w:adjustRightInd w:val="0"/>
        <w:rPr>
          <w:rFonts w:ascii="Arial-BoldMT" w:hAnsi="Arial-BoldMT" w:cs="Arial-BoldMT"/>
          <w:b/>
          <w:bCs/>
        </w:rPr>
      </w:pPr>
      <w:r w:rsidRPr="005C48F2">
        <w:rPr>
          <w:rFonts w:ascii="Arial-BoldMT" w:hAnsi="Arial-BoldMT" w:cs="Arial-BoldMT"/>
          <w:b/>
          <w:bCs/>
        </w:rPr>
        <w:t>Performance</w:t>
      </w:r>
    </w:p>
    <w:p w:rsidR="00CF1D42" w:rsidRPr="005C48F2" w:rsidRDefault="00CF1D42" w:rsidP="00CF1D42">
      <w:pPr>
        <w:autoSpaceDE w:val="0"/>
        <w:autoSpaceDN w:val="0"/>
        <w:adjustRightInd w:val="0"/>
        <w:rPr>
          <w:rFonts w:ascii="Arial-BoldMT" w:hAnsi="Arial-BoldMT" w:cs="Arial-BoldMT"/>
          <w:b/>
          <w:bCs/>
        </w:rPr>
      </w:pPr>
    </w:p>
    <w:p w:rsidR="00CF1D42" w:rsidRPr="005C48F2" w:rsidRDefault="00CF1D42" w:rsidP="00CF1D42">
      <w:pPr>
        <w:autoSpaceDE w:val="0"/>
        <w:autoSpaceDN w:val="0"/>
        <w:adjustRightInd w:val="0"/>
        <w:rPr>
          <w:rFonts w:ascii="ArialMT" w:hAnsi="ArialMT" w:cs="ArialMT"/>
        </w:rPr>
      </w:pPr>
      <w:r w:rsidRPr="005C48F2">
        <w:rPr>
          <w:rFonts w:ascii="ArialMT" w:hAnsi="ArialMT" w:cs="ArialMT"/>
        </w:rPr>
        <w:t>The value of the Fund</w:t>
      </w:r>
      <w:r>
        <w:rPr>
          <w:rFonts w:ascii="ArialMT" w:hAnsi="ArialMT" w:cs="ArialMT"/>
        </w:rPr>
        <w:t>'s assets</w:t>
      </w:r>
      <w:r w:rsidRPr="005C48F2">
        <w:rPr>
          <w:rFonts w:ascii="ArialMT" w:hAnsi="ArialMT" w:cs="ArialMT"/>
        </w:rPr>
        <w:t xml:space="preserve"> </w:t>
      </w:r>
      <w:r>
        <w:rPr>
          <w:rFonts w:ascii="ArialMT" w:hAnsi="ArialMT" w:cs="ArialMT"/>
        </w:rPr>
        <w:t xml:space="preserve">has more than doubled </w:t>
      </w:r>
      <w:r w:rsidRPr="005C48F2">
        <w:rPr>
          <w:rFonts w:ascii="ArialMT" w:hAnsi="ArialMT" w:cs="ArialMT"/>
        </w:rPr>
        <w:t>over the last ten years</w:t>
      </w:r>
      <w:r>
        <w:rPr>
          <w:rFonts w:ascii="ArialMT" w:hAnsi="ArialMT" w:cs="ArialMT"/>
        </w:rPr>
        <w:t xml:space="preserve">, as </w:t>
      </w:r>
      <w:r w:rsidRPr="005C48F2">
        <w:rPr>
          <w:rFonts w:ascii="ArialMT" w:hAnsi="ArialMT" w:cs="ArialMT"/>
        </w:rPr>
        <w:t>shown in the chart below:</w:t>
      </w:r>
    </w:p>
    <w:p w:rsidR="00CF1D42" w:rsidRPr="005C48F2" w:rsidRDefault="00CF1D42" w:rsidP="00CF1D42">
      <w:pPr>
        <w:autoSpaceDE w:val="0"/>
        <w:autoSpaceDN w:val="0"/>
        <w:adjustRightInd w:val="0"/>
        <w:rPr>
          <w:rFonts w:ascii="ArialMT" w:hAnsi="ArialMT" w:cs="ArialMT"/>
        </w:rPr>
      </w:pPr>
    </w:p>
    <w:p w:rsidR="001327AB" w:rsidRPr="003A51FC" w:rsidRDefault="001C31F0" w:rsidP="00CF1D42">
      <w:pPr>
        <w:autoSpaceDE w:val="0"/>
        <w:autoSpaceDN w:val="0"/>
        <w:adjustRightInd w:val="0"/>
        <w:rPr>
          <w:rFonts w:ascii="Arial-BoldMT" w:hAnsi="Arial-BoldMT" w:cs="Arial-BoldMT"/>
          <w:b/>
          <w:bCs/>
          <w:szCs w:val="24"/>
          <w:highlight w:val="yellow"/>
        </w:rPr>
      </w:pPr>
      <w:r w:rsidRPr="001C31F0">
        <w:rPr>
          <w:noProof/>
        </w:rPr>
      </w:r>
      <w:r w:rsidRPr="001C31F0">
        <w:rPr>
          <w:noProof/>
        </w:rPr>
        <w:pict>
          <v:group id="_x0000_s1026" editas="canvas" style="width:485.25pt;height:348.85pt;mso-position-horizontal-relative:char;mso-position-vertical-relative:line" coordsize="9705,69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05;height:6977" o:preferrelative="f">
              <v:fill o:detectmouseclick="t"/>
              <v:path o:extrusionok="t" o:connecttype="none"/>
              <o:lock v:ext="edit" text="t"/>
            </v:shape>
            <v:group id="_x0000_s1028" style="position:absolute;left:79;top:60;width:9531;height:6570" coordorigin="79,60" coordsize="9531,6570">
              <v:rect id="_x0000_s1029" style="position:absolute;left:79;top:60;width:9531;height:6570" strokecolor="gray" strokeweight="0"/>
              <v:rect id="_x0000_s1030" style="position:absolute;left:842;top:812;width:7402;height:4958" stroked="f"/>
              <v:line id="_x0000_s1031" style="position:absolute" from="842,4874" to="8244,4875" strokecolor="gray" strokeweight="0"/>
              <v:line id="_x0000_s1032" style="position:absolute" from="842,3966" to="8244,3967" strokecolor="gray" strokeweight="0"/>
              <v:line id="_x0000_s1033" style="position:absolute" from="842,3070" to="8244,3071" strokecolor="gray" strokeweight="0"/>
              <v:line id="_x0000_s1034" style="position:absolute" from="842,2162" to="8244,2163" strokecolor="gray" strokeweight="0"/>
              <v:line id="_x0000_s1035" style="position:absolute" from="842,1266" to="8244,1267" strokecolor="gray" strokeweight="0"/>
              <v:rect id="_x0000_s1036" style="position:absolute;left:1477;top:3584;width:48;height:2198" fillcolor="black" stroked="f"/>
              <v:rect id="_x0000_s1037" style="position:absolute;left:969;top:5770;width:556;height:12" fillcolor="black" stroked="f"/>
              <v:rect id="_x0000_s1038" style="position:absolute;left:2208;top:3285;width:48;height:2497" fillcolor="black" stroked="f"/>
              <v:rect id="_x0000_s1039" style="position:absolute;left:1715;top:5770;width:541;height:12" fillcolor="black" stroked="f"/>
              <v:rect id="_x0000_s1040" style="position:absolute;left:2954;top:2664;width:48;height:3118" fillcolor="black" stroked="f"/>
              <v:rect id="_x0000_s1041" style="position:absolute;left:2446;top:5770;width:556;height:12" fillcolor="black" stroked="f"/>
              <v:rect id="_x0000_s1042" style="position:absolute;left:3685;top:2473;width:48;height:3309" fillcolor="black" stroked="f"/>
              <v:rect id="_x0000_s1043" style="position:absolute;left:3193;top:5770;width:540;height:12" fillcolor="black" stroked="f"/>
              <v:rect id="_x0000_s1044" style="position:absolute;left:4432;top:2485;width:47;height:3297" fillcolor="black" stroked="f"/>
              <v:rect id="_x0000_s1045" style="position:absolute;left:3923;top:5770;width:556;height:12" fillcolor="black" stroked="f"/>
              <v:rect id="_x0000_s1046" style="position:absolute;left:5178;top:3154;width:48;height:2628" fillcolor="black" stroked="f"/>
              <v:rect id="_x0000_s1047" style="position:absolute;left:4670;top:5770;width:556;height:12" fillcolor="black" stroked="f"/>
              <v:rect id="_x0000_s1048" style="position:absolute;left:5909;top:2222;width:48;height:3560" fillcolor="black" stroked="f"/>
              <v:rect id="_x0000_s1049" style="position:absolute;left:5416;top:5770;width:541;height:12" fillcolor="black" stroked="f"/>
              <v:rect id="_x0000_s1050" style="position:absolute;left:6655;top:1923;width:48;height:3859" fillcolor="black" stroked="f"/>
              <v:rect id="_x0000_s1051" style="position:absolute;left:6147;top:5770;width:556;height:12" fillcolor="black" stroked="f"/>
              <v:rect id="_x0000_s1052" style="position:absolute;left:7386;top:1852;width:48;height:3930" fillcolor="black" stroked="f"/>
              <v:rect id="_x0000_s1053" style="position:absolute;left:6894;top:5770;width:540;height:12" fillcolor="black" stroked="f"/>
              <v:rect id="_x0000_s1054" style="position:absolute;left:8133;top:1278;width:47;height:4504" fillcolor="black" stroked="f"/>
              <v:rect id="_x0000_s1055" style="position:absolute;left:7624;top:5770;width:556;height:12" fillcolor="black" stroked="f"/>
              <v:rect id="_x0000_s1056" style="position:absolute;left:937;top:3560;width:540;height:203" fillcolor="#ce3b37" stroked="f"/>
              <v:rect id="_x0000_s1057" style="position:absolute;left:937;top:3763;width:540;height:239" fillcolor="#cc3c39" stroked="f"/>
              <v:rect id="_x0000_s1058" style="position:absolute;left:937;top:4002;width:540;height:84" fillcolor="#ca3d3a" stroked="f"/>
              <v:rect id="_x0000_s1059" style="position:absolute;left:937;top:4086;width:540;height:95" fillcolor="#c83c39" stroked="f"/>
              <v:rect id="_x0000_s1060" style="position:absolute;left:937;top:4181;width:540;height:96" fillcolor="#c63b38" stroked="f"/>
              <v:rect id="_x0000_s1061" style="position:absolute;left:937;top:4277;width:540;height:83" fillcolor="#c43b38" stroked="f"/>
              <v:rect id="_x0000_s1062" style="position:absolute;left:937;top:4360;width:540;height:84" fillcolor="#c23a37" stroked="f"/>
              <v:rect id="_x0000_s1063" style="position:absolute;left:937;top:4444;width:540;height:72" fillcolor="#c03a37" stroked="f"/>
              <v:rect id="_x0000_s1064" style="position:absolute;left:937;top:4516;width:540;height:83" fillcolor="#be3936" stroked="f"/>
              <v:rect id="_x0000_s1065" style="position:absolute;left:937;top:4599;width:540;height:84" fillcolor="#bc3835" stroked="f"/>
              <v:rect id="_x0000_s1066" style="position:absolute;left:937;top:4683;width:540;height:72" fillcolor="#ba3835" stroked="f"/>
              <v:rect id="_x0000_s1067" style="position:absolute;left:937;top:4755;width:540;height:71" fillcolor="#b83734" stroked="f"/>
              <v:rect id="_x0000_s1068" style="position:absolute;left:937;top:4826;width:540;height:60" fillcolor="#b63633" stroked="f"/>
              <v:rect id="_x0000_s1069" style="position:absolute;left:937;top:4886;width:540;height:84" fillcolor="#b43632" stroked="f"/>
              <v:rect id="_x0000_s1070" style="position:absolute;left:937;top:4970;width:540;height:71" fillcolor="#b23632" stroked="f"/>
              <v:rect id="_x0000_s1071" style="position:absolute;left:937;top:5041;width:540;height:60" fillcolor="#b13431" stroked="f"/>
              <v:rect id="_x0000_s1072" style="position:absolute;left:937;top:5101;width:540;height:60" fillcolor="#af3431" stroked="f"/>
              <v:rect id="_x0000_s1073" style="position:absolute;left:937;top:5161;width:540;height:71" fillcolor="#ad3330" stroked="f"/>
              <v:rect id="_x0000_s1074" style="position:absolute;left:937;top:5232;width:540;height:72" fillcolor="#ab3230" stroked="f"/>
              <v:rect id="_x0000_s1075" style="position:absolute;left:937;top:5304;width:540;height:72" fillcolor="#a9322f" stroked="f"/>
              <v:rect id="_x0000_s1076" style="position:absolute;left:937;top:5376;width:540;height:71" fillcolor="#a7322e" stroked="f"/>
              <v:rect id="_x0000_s1077" style="position:absolute;left:937;top:5447;width:540;height:60" fillcolor="#a5312d" stroked="f"/>
              <v:rect id="_x0000_s1078" style="position:absolute;left:937;top:5507;width:540;height:60" fillcolor="#a3302d" stroked="f"/>
              <v:rect id="_x0000_s1079" style="position:absolute;left:937;top:5567;width:540;height:48" fillcolor="#a12f2c" stroked="f"/>
              <v:rect id="_x0000_s1080" style="position:absolute;left:937;top:5615;width:540;height:71" fillcolor="#9f2e2c" stroked="f"/>
              <v:rect id="_x0000_s1081" style="position:absolute;left:937;top:5686;width:540;height:72" fillcolor="#9d2e2b" stroked="f"/>
              <v:rect id="_x0000_s1082" style="position:absolute;left:937;top:5758;width:540;height:12" fillcolor="#9b2d2a" stroked="f"/>
              <v:rect id="_x0000_s1083" style="position:absolute;left:937;top:3560;width:540;height:2210" filled="f" stroked="f"/>
              <v:rect id="_x0000_s1084" style="position:absolute;left:1684;top:3261;width:524;height:239" fillcolor="#ce3b37" stroked="f"/>
              <v:rect id="_x0000_s1085" style="position:absolute;left:1684;top:3500;width:524;height:263" fillcolor="#cc3c39" stroked="f"/>
              <v:rect id="_x0000_s1086" style="position:absolute;left:1684;top:3763;width:524;height:96" fillcolor="#ca3d3a" stroked="f"/>
              <v:rect id="_x0000_s1087" style="position:absolute;left:1684;top:3859;width:524;height:107" fillcolor="#c83c39" stroked="f"/>
              <v:rect id="_x0000_s1088" style="position:absolute;left:1684;top:3966;width:524;height:108" fillcolor="#c63b38" stroked="f"/>
              <v:rect id="_x0000_s1089" style="position:absolute;left:1684;top:4074;width:524;height:107" fillcolor="#c43b38" stroked="f"/>
              <v:rect id="_x0000_s1090" style="position:absolute;left:1684;top:4181;width:524;height:84" fillcolor="#c23a37" stroked="f"/>
              <v:rect id="_x0000_s1091" style="position:absolute;left:1684;top:4265;width:524;height:71" fillcolor="#c03a37" stroked="f"/>
              <v:rect id="_x0000_s1092" style="position:absolute;left:1684;top:4336;width:524;height:96" fillcolor="#be3936" stroked="f"/>
              <v:rect id="_x0000_s1093" style="position:absolute;left:1684;top:4432;width:524;height:108" fillcolor="#bc3835" stroked="f"/>
              <v:rect id="_x0000_s1094" style="position:absolute;left:1684;top:4540;width:524;height:71" fillcolor="#ba3835" stroked="f"/>
              <v:rect id="_x0000_s1095" style="position:absolute;left:1684;top:4611;width:524;height:84" fillcolor="#b83734" stroked="f"/>
              <v:rect id="_x0000_s1096" style="position:absolute;left:1684;top:4695;width:524;height:72" fillcolor="#b63633" stroked="f"/>
              <v:rect id="_x0000_s1097" style="position:absolute;left:1684;top:4767;width:524;height:83" fillcolor="#b43632" stroked="f"/>
              <v:rect id="_x0000_s1098" style="position:absolute;left:1684;top:4850;width:524;height:96" fillcolor="#b23632" stroked="f"/>
              <v:rect id="_x0000_s1099" style="position:absolute;left:1684;top:4946;width:524;height:59" fillcolor="#b13431" stroked="f"/>
              <v:rect id="_x0000_s1100" style="position:absolute;left:1684;top:5005;width:524;height:84" fillcolor="#af3431" stroked="f"/>
              <v:rect id="_x0000_s1101" style="position:absolute;left:1684;top:5089;width:524;height:72" fillcolor="#ad3330" stroked="f"/>
              <v:rect id="_x0000_s1102" style="position:absolute;left:1684;top:5161;width:524;height:83" fillcolor="#ab3230" stroked="f"/>
              <v:rect id="_x0000_s1103" style="position:absolute;left:1684;top:5244;width:524;height:72" fillcolor="#a9322f" stroked="f"/>
              <v:rect id="_x0000_s1104" style="position:absolute;left:1684;top:5316;width:524;height:84" fillcolor="#a7322e" stroked="f"/>
              <v:rect id="_x0000_s1105" style="position:absolute;left:1684;top:5400;width:524;height:71" fillcolor="#a5312d" stroked="f"/>
              <v:rect id="_x0000_s1106" style="position:absolute;left:1684;top:5471;width:524;height:60" fillcolor="#a3302d" stroked="f"/>
              <v:rect id="_x0000_s1107" style="position:absolute;left:1684;top:5531;width:524;height:72" fillcolor="#a12f2c" stroked="f"/>
              <v:rect id="_x0000_s1108" style="position:absolute;left:1684;top:5603;width:524;height:71" fillcolor="#9f2e2c" stroked="f"/>
              <v:rect id="_x0000_s1109" style="position:absolute;left:1684;top:5674;width:524;height:72" fillcolor="#9d2e2b" stroked="f"/>
              <v:rect id="_x0000_s1110" style="position:absolute;left:1684;top:5746;width:524;height:24" fillcolor="#9b2d2a" stroked="f"/>
              <v:rect id="_x0000_s1111" style="position:absolute;left:1684;top:3261;width:524;height:2509" filled="f" stroked="f"/>
              <v:rect id="_x0000_s1112" style="position:absolute;left:2414;top:2640;width:540;height:299" fillcolor="#ce3b37" stroked="f"/>
              <v:rect id="_x0000_s1113" style="position:absolute;left:2414;top:2939;width:540;height:322" fillcolor="#cc3c39" stroked="f"/>
              <v:rect id="_x0000_s1114" style="position:absolute;left:2414;top:3261;width:540;height:132" fillcolor="#ca3d3a" stroked="f"/>
              <v:rect id="_x0000_s1115" style="position:absolute;left:2414;top:3393;width:540;height:131" fillcolor="#c83c39" stroked="f"/>
              <v:rect id="_x0000_s1116" style="position:absolute;left:2414;top:3524;width:540;height:132" fillcolor="#c63b38" stroked="f"/>
              <v:rect id="_x0000_s1117" style="position:absolute;left:2414;top:3656;width:540;height:131" fillcolor="#c43b38" stroked="f"/>
              <v:rect id="_x0000_s1118" style="position:absolute;left:2414;top:3787;width:540;height:95" fillcolor="#c23a37" stroked="f"/>
              <v:rect id="_x0000_s1119" style="position:absolute;left:2414;top:3882;width:540;height:108" fillcolor="#c03a37" stroked="f"/>
              <v:rect id="_x0000_s1120" style="position:absolute;left:2414;top:3990;width:540;height:119" fillcolor="#be3936" stroked="f"/>
              <v:rect id="_x0000_s1121" style="position:absolute;left:2414;top:4109;width:540;height:120" fillcolor="#bc3835" stroked="f"/>
              <v:rect id="_x0000_s1122" style="position:absolute;left:2414;top:4229;width:540;height:95" fillcolor="#ba3835" stroked="f"/>
              <v:rect id="_x0000_s1123" style="position:absolute;left:2414;top:4324;width:540;height:96" fillcolor="#b83734" stroked="f"/>
              <v:rect id="_x0000_s1124" style="position:absolute;left:2414;top:4420;width:540;height:108" fillcolor="#b63633" stroked="f"/>
              <v:rect id="_x0000_s1125" style="position:absolute;left:2414;top:4528;width:540;height:107" fillcolor="#b43632" stroked="f"/>
              <v:rect id="_x0000_s1126" style="position:absolute;left:2414;top:4635;width:540;height:108" fillcolor="#b23632" stroked="f"/>
              <v:rect id="_x0000_s1127" style="position:absolute;left:2414;top:4743;width:540;height:71" fillcolor="#b13431" stroked="f"/>
              <v:rect id="_x0000_s1128" style="position:absolute;left:2414;top:4814;width:540;height:96" fillcolor="#af3431" stroked="f"/>
              <v:rect id="_x0000_s1129" style="position:absolute;left:2414;top:4910;width:540;height:107" fillcolor="#ad3330" stroked="f"/>
              <v:rect id="_x0000_s1130" style="position:absolute;left:2414;top:5017;width:540;height:96" fillcolor="#ab3230" stroked="f"/>
              <v:rect id="_x0000_s1131" style="position:absolute;left:2414;top:5113;width:540;height:96" fillcolor="#a9322f" stroked="f"/>
              <v:rect id="_x0000_s1132" style="position:absolute;left:2414;top:5209;width:540;height:95" fillcolor="#a7322e" stroked="f"/>
              <v:rect id="_x0000_s1133" style="position:absolute;left:2414;top:5304;width:540;height:96" fillcolor="#a5312d" stroked="f"/>
              <v:rect id="_x0000_s1134" style="position:absolute;left:2414;top:5400;width:540;height:83" fillcolor="#a3302d" stroked="f"/>
              <v:rect id="_x0000_s1135" style="position:absolute;left:2414;top:5483;width:540;height:72" fillcolor="#a12f2c" stroked="f"/>
              <v:rect id="_x0000_s1136" style="position:absolute;left:2414;top:5555;width:540;height:96" fillcolor="#9f2e2c" stroked="f"/>
              <v:rect id="_x0000_s1137" style="position:absolute;left:2414;top:5651;width:540;height:95" fillcolor="#9d2e2b" stroked="f"/>
              <v:rect id="_x0000_s1138" style="position:absolute;left:2414;top:5746;width:540;height:24" fillcolor="#9b2d2a" stroked="f"/>
              <v:rect id="_x0000_s1139" style="position:absolute;left:2414;top:2640;width:540;height:3130" filled="f" stroked="f"/>
              <v:rect id="_x0000_s1140" style="position:absolute;left:3161;top:2449;width:524;height:311" fillcolor="#ce3b37" stroked="f"/>
              <v:rect id="_x0000_s1141" style="position:absolute;left:3161;top:2760;width:524;height:346" fillcolor="#cc3c39" stroked="f"/>
              <v:rect id="_x0000_s1142" style="position:absolute;left:3161;top:3106;width:524;height:143" fillcolor="#ca3d3a" stroked="f"/>
              <v:rect id="_x0000_s1143" style="position:absolute;left:3161;top:3249;width:524;height:132" fillcolor="#c83c39" stroked="f"/>
              <v:rect id="_x0000_s1144" style="position:absolute;left:3161;top:3381;width:524;height:143" fillcolor="#c63b38" stroked="f"/>
              <v:rect id="_x0000_s1145" style="position:absolute;left:3161;top:3524;width:524;height:132" fillcolor="#c43b38" stroked="f"/>
              <v:rect id="_x0000_s1146" style="position:absolute;left:3161;top:3656;width:524;height:119" fillcolor="#c23a37" stroked="f"/>
              <v:rect id="_x0000_s1147" style="position:absolute;left:3161;top:3775;width:524;height:107" fillcolor="#c03a37" stroked="f"/>
              <v:rect id="_x0000_s1148" style="position:absolute;left:3161;top:3882;width:524;height:120" fillcolor="#be3936" stroked="f"/>
              <v:rect id="_x0000_s1149" style="position:absolute;left:3161;top:4002;width:524;height:131" fillcolor="#bc3835" stroked="f"/>
              <v:rect id="_x0000_s1150" style="position:absolute;left:3161;top:4133;width:524;height:108" fillcolor="#ba3835" stroked="f"/>
              <v:rect id="_x0000_s1151" style="position:absolute;left:3161;top:4241;width:524;height:107" fillcolor="#b83734" stroked="f"/>
              <v:rect id="_x0000_s1152" style="position:absolute;left:3161;top:4348;width:524;height:96" fillcolor="#b63633" stroked="f"/>
              <v:rect id="_x0000_s1153" style="position:absolute;left:3161;top:4444;width:524;height:119" fillcolor="#b43632" stroked="f"/>
              <v:rect id="_x0000_s1154" style="position:absolute;left:3161;top:4563;width:524;height:120" fillcolor="#b23632" stroked="f"/>
              <v:rect id="_x0000_s1155" style="position:absolute;left:3161;top:4683;width:524;height:72" fillcolor="#b13431" stroked="f"/>
              <v:rect id="_x0000_s1156" style="position:absolute;left:3161;top:4755;width:524;height:107" fillcolor="#af3431" stroked="f"/>
              <v:rect id="_x0000_s1157" style="position:absolute;left:3161;top:4862;width:524;height:108" fillcolor="#ad3330" stroked="f"/>
              <v:rect id="_x0000_s1158" style="position:absolute;left:3161;top:4970;width:524;height:95" fillcolor="#ab3230" stroked="f"/>
              <v:rect id="_x0000_s1159" style="position:absolute;left:3161;top:5065;width:524;height:108" fillcolor="#a9322f" stroked="f"/>
              <v:rect id="_x0000_s1160" style="position:absolute;left:3161;top:5173;width:524;height:107" fillcolor="#a7322e" stroked="f"/>
              <v:rect id="_x0000_s1161" style="position:absolute;left:3161;top:5280;width:524;height:96" fillcolor="#a5312d" stroked="f"/>
              <v:rect id="_x0000_s1162" style="position:absolute;left:3161;top:5376;width:524;height:83" fillcolor="#a3302d" stroked="f"/>
              <v:rect id="_x0000_s1163" style="position:absolute;left:3161;top:5459;width:524;height:84" fillcolor="#a12f2c" stroked="f"/>
              <v:rect id="_x0000_s1164" style="position:absolute;left:3161;top:5543;width:524;height:96" fillcolor="#9f2e2c" stroked="f"/>
              <v:rect id="_x0000_s1165" style="position:absolute;left:3161;top:5639;width:524;height:107" fillcolor="#9d2e2b" stroked="f"/>
              <v:rect id="_x0000_s1166" style="position:absolute;left:3161;top:5746;width:524;height:24" fillcolor="#9b2d2a" stroked="f"/>
              <v:rect id="_x0000_s1167" style="position:absolute;left:3161;top:2449;width:524;height:3321" filled="f" stroked="f"/>
              <v:rect id="_x0000_s1168" style="position:absolute;left:3892;top:2461;width:540;height:311" fillcolor="#ce3b37" stroked="f"/>
              <v:rect id="_x0000_s1169" style="position:absolute;left:3892;top:2772;width:540;height:346" fillcolor="#cc3c39" stroked="f"/>
              <v:rect id="_x0000_s1170" style="position:absolute;left:3892;top:3118;width:540;height:131" fillcolor="#ca3d3a" stroked="f"/>
              <v:rect id="_x0000_s1171" style="position:absolute;left:3892;top:3249;width:540;height:144" fillcolor="#c83c39" stroked="f"/>
              <v:rect id="_x0000_s1172" style="position:absolute;left:3892;top:3393;width:540;height:131" fillcolor="#c63b38" stroked="f"/>
              <v:rect id="_x0000_s1173" style="position:absolute;left:3892;top:3524;width:540;height:143" fillcolor="#c43b38" stroked="f"/>
              <v:rect id="_x0000_s1174" style="position:absolute;left:3892;top:3667;width:540;height:108" fillcolor="#c23a37" stroked="f"/>
              <v:rect id="_x0000_s1175" style="position:absolute;left:3892;top:3775;width:540;height:107" fillcolor="#c03a37" stroked="f"/>
              <v:rect id="_x0000_s1176" style="position:absolute;left:3892;top:3882;width:540;height:132" fillcolor="#be3936" stroked="f"/>
              <v:rect id="_x0000_s1177" style="position:absolute;left:3892;top:4014;width:540;height:131" fillcolor="#bc3835" stroked="f"/>
              <v:rect id="_x0000_s1178" style="position:absolute;left:3892;top:4145;width:540;height:96" fillcolor="#ba3835" stroked="f"/>
              <v:rect id="_x0000_s1179" style="position:absolute;left:3892;top:4241;width:540;height:107" fillcolor="#b83734" stroked="f"/>
              <v:rect id="_x0000_s1180" style="position:absolute;left:3892;top:4348;width:540;height:108" fillcolor="#b63633" stroked="f"/>
              <v:rect id="_x0000_s1181" style="position:absolute;left:3892;top:4456;width:540;height:107" fillcolor="#b43632" stroked="f"/>
              <v:rect id="_x0000_s1182" style="position:absolute;left:3892;top:4563;width:540;height:120" fillcolor="#b23632" stroked="f"/>
              <v:rect id="_x0000_s1183" style="position:absolute;left:3892;top:4683;width:540;height:84" fillcolor="#b13431" stroked="f"/>
              <v:rect id="_x0000_s1184" style="position:absolute;left:3892;top:4767;width:540;height:95" fillcolor="#af3431" stroked="f"/>
              <v:rect id="_x0000_s1185" style="position:absolute;left:3892;top:4862;width:540;height:108" fillcolor="#ad3330" stroked="f"/>
              <v:rect id="_x0000_s1186" style="position:absolute;left:3892;top:4970;width:540;height:107" fillcolor="#ab3230" stroked="f"/>
              <v:rect id="_x0000_s1187" style="position:absolute;left:3892;top:5077;width:540;height:96" fillcolor="#a9322f" stroked="f"/>
              <v:rect id="_x0000_s1188" style="position:absolute;left:3892;top:5173;width:540;height:107" fillcolor="#a7322e" stroked="f"/>
              <v:rect id="_x0000_s1189" style="position:absolute;left:3892;top:5280;width:540;height:96" fillcolor="#a5312d" stroked="f"/>
              <v:rect id="_x0000_s1190" style="position:absolute;left:3892;top:5376;width:540;height:83" fillcolor="#a3302d" stroked="f"/>
              <v:rect id="_x0000_s1191" style="position:absolute;left:3892;top:5459;width:540;height:84" fillcolor="#a12f2c" stroked="f"/>
              <v:rect id="_x0000_s1192" style="position:absolute;left:3892;top:5543;width:540;height:96" fillcolor="#9f2e2c" stroked="f"/>
              <v:rect id="_x0000_s1193" style="position:absolute;left:3892;top:5639;width:540;height:107" fillcolor="#9d2e2b" stroked="f"/>
              <v:rect id="_x0000_s1194" style="position:absolute;left:3892;top:5746;width:540;height:24" fillcolor="#9b2d2a" stroked="f"/>
              <v:rect id="_x0000_s1195" style="position:absolute;left:3892;top:2461;width:540;height:3309" filled="f" stroked="f"/>
              <v:rect id="_x0000_s1196" style="position:absolute;left:4638;top:3130;width:540;height:251" fillcolor="#ce3b37" stroked="f"/>
              <v:rect id="_x0000_s1197" style="position:absolute;left:4638;top:3381;width:540;height:275" fillcolor="#cc3c39" stroked="f"/>
              <v:rect id="_x0000_s1198" style="position:absolute;left:4638;top:3656;width:540;height:107" fillcolor="#ca3d3a" stroked="f"/>
              <v:rect id="_x0000_s1199" style="position:absolute;left:4638;top:3763;width:540;height:108" fillcolor="#c83c39" stroked="f"/>
              <v:rect id="_x0000_s1200" style="position:absolute;left:4638;top:3871;width:540;height:107" fillcolor="#c63b38" stroked="f"/>
              <v:rect id="_x0000_s1201" style="position:absolute;left:4638;top:3978;width:540;height:120" fillcolor="#c43b38" stroked="f"/>
              <v:rect id="_x0000_s1202" style="position:absolute;left:4638;top:4098;width:540;height:83" fillcolor="#c23a37" stroked="f"/>
              <v:rect id="_x0000_s1203" style="position:absolute;left:4638;top:4181;width:540;height:84" fillcolor="#c03a37" stroked="f"/>
              <v:rect id="_x0000_s1204" style="position:absolute;left:4638;top:4265;width:540;height:107" fillcolor="#be3936" stroked="f"/>
              <v:rect id="_x0000_s1205" style="position:absolute;left:4638;top:4372;width:540;height:96" fillcolor="#bc3835" stroked="f"/>
              <v:rect id="_x0000_s1206" style="position:absolute;left:4638;top:4468;width:540;height:83" fillcolor="#ba3835" stroked="f"/>
              <v:rect id="_x0000_s1207" style="position:absolute;left:4638;top:4551;width:540;height:84" fillcolor="#b83734" stroked="f"/>
              <v:rect id="_x0000_s1208" style="position:absolute;left:4638;top:4635;width:540;height:84" fillcolor="#b63633" stroked="f"/>
              <v:rect id="_x0000_s1209" style="position:absolute;left:4638;top:4719;width:540;height:83" fillcolor="#b43632" stroked="f"/>
              <v:rect id="_x0000_s1210" style="position:absolute;left:4638;top:4802;width:540;height:108" fillcolor="#b23632" stroked="f"/>
              <v:rect id="_x0000_s1211" style="position:absolute;left:4638;top:4910;width:540;height:60" fillcolor="#b13431" stroked="f"/>
              <v:rect id="_x0000_s1212" style="position:absolute;left:4638;top:4970;width:540;height:83" fillcolor="#af3431" stroked="f"/>
              <v:rect id="_x0000_s1213" style="position:absolute;left:4638;top:5053;width:540;height:84" fillcolor="#ad3330" stroked="f"/>
              <v:rect id="_x0000_s1214" style="position:absolute;left:4638;top:5137;width:540;height:72" fillcolor="#ab3230" stroked="f"/>
              <v:rect id="_x0000_s1215" style="position:absolute;left:4638;top:5209;width:540;height:83" fillcolor="#a9322f" stroked="f"/>
              <v:rect id="_x0000_s1216" style="position:absolute;left:4638;top:5292;width:540;height:84" fillcolor="#a7322e" stroked="f"/>
              <v:rect id="_x0000_s1217" style="position:absolute;left:4638;top:5376;width:540;height:83" fillcolor="#a5312d" stroked="f"/>
              <v:rect id="_x0000_s1218" style="position:absolute;left:4638;top:5459;width:540;height:60" fillcolor="#a3302d" stroked="f"/>
              <v:rect id="_x0000_s1219" style="position:absolute;left:4638;top:5519;width:540;height:72" fillcolor="#a12f2c" stroked="f"/>
              <v:rect id="_x0000_s1220" style="position:absolute;left:4638;top:5591;width:540;height:71" fillcolor="#9f2e2c" stroked="f"/>
              <v:rect id="_x0000_s1221" style="position:absolute;left:4638;top:5662;width:540;height:84" fillcolor="#9d2e2b" stroked="f"/>
              <v:rect id="_x0000_s1222" style="position:absolute;left:4638;top:5746;width:540;height:24" fillcolor="#9b2d2a" stroked="f"/>
              <v:rect id="_x0000_s1223" style="position:absolute;left:4638;top:3130;width:540;height:2640" filled="f" stroked="f"/>
              <v:rect id="_x0000_s1224" style="position:absolute;left:5385;top:2198;width:524;height:335" fillcolor="#ce3b37" stroked="f"/>
              <v:rect id="_x0000_s1225" style="position:absolute;left:5385;top:2533;width:524;height:370" fillcolor="#cc3c39" stroked="f"/>
              <v:rect id="_x0000_s1226" style="position:absolute;left:5385;top:2903;width:524;height:155" fillcolor="#ca3d3a" stroked="f"/>
              <v:rect id="_x0000_s1227" style="position:absolute;left:5385;top:3058;width:524;height:144" fillcolor="#c83c39" stroked="f"/>
              <v:rect id="_x0000_s1228" style="position:absolute;left:5385;top:3202;width:524;height:155" fillcolor="#c63b38" stroked="f"/>
            </v:group>
            <v:rect id="_x0000_s1229" style="position:absolute;left:5385;top:3357;width:524;height:143" fillcolor="#c43b38" stroked="f"/>
            <v:rect id="_x0000_s1230" style="position:absolute;left:5385;top:3500;width:524;height:120" fillcolor="#c23a37" stroked="f"/>
            <v:rect id="_x0000_s1231" style="position:absolute;left:5385;top:3620;width:524;height:119" fillcolor="#c03a37" stroked="f"/>
            <v:rect id="_x0000_s1232" style="position:absolute;left:5385;top:3739;width:524;height:132" fillcolor="#be3936" stroked="f"/>
            <v:rect id="_x0000_s1233" style="position:absolute;left:5385;top:3871;width:524;height:143" fillcolor="#bc3835" stroked="f"/>
            <v:rect id="_x0000_s1234" style="position:absolute;left:5385;top:4014;width:524;height:107" fillcolor="#ba3835" stroked="f"/>
            <v:rect id="_x0000_s1235" style="position:absolute;left:5385;top:4121;width:524;height:120" fillcolor="#b83734" stroked="f"/>
            <v:rect id="_x0000_s1236" style="position:absolute;left:5385;top:4241;width:524;height:107" fillcolor="#b63633" stroked="f"/>
            <v:rect id="_x0000_s1237" style="position:absolute;left:5385;top:4348;width:524;height:120" fillcolor="#b43632" stroked="f"/>
            <v:rect id="_x0000_s1238" style="position:absolute;left:5385;top:4468;width:524;height:131" fillcolor="#b23632" stroked="f"/>
            <v:rect id="_x0000_s1239" style="position:absolute;left:5385;top:4599;width:524;height:84" fillcolor="#b13431" stroked="f"/>
            <v:rect id="_x0000_s1240" style="position:absolute;left:5385;top:4683;width:524;height:107" fillcolor="#af3431" stroked="f"/>
            <v:rect id="_x0000_s1241" style="position:absolute;left:5385;top:4790;width:524;height:120" fillcolor="#ad3330" stroked="f"/>
            <v:rect id="_x0000_s1242" style="position:absolute;left:5385;top:4910;width:524;height:107" fillcolor="#ab3230" stroked="f"/>
            <v:rect id="_x0000_s1243" style="position:absolute;left:5385;top:5017;width:524;height:108" fillcolor="#a9322f" stroked="f"/>
            <v:rect id="_x0000_s1244" style="position:absolute;left:5385;top:5125;width:524;height:119" fillcolor="#a7322e" stroked="f"/>
            <v:rect id="_x0000_s1245" style="position:absolute;left:5385;top:5244;width:524;height:108" fillcolor="#a5312d" stroked="f"/>
            <v:rect id="_x0000_s1246" style="position:absolute;left:5385;top:5352;width:524;height:83" fillcolor="#a3302d" stroked="f"/>
            <v:rect id="_x0000_s1247" style="position:absolute;left:5385;top:5435;width:524;height:84" fillcolor="#a12f2c" stroked="f"/>
            <v:rect id="_x0000_s1248" style="position:absolute;left:5385;top:5519;width:524;height:108" fillcolor="#9f2e2c" stroked="f"/>
            <v:rect id="_x0000_s1249" style="position:absolute;left:5385;top:5627;width:524;height:119" fillcolor="#9d2e2b" stroked="f"/>
            <v:rect id="_x0000_s1250" style="position:absolute;left:5385;top:5746;width:524;height:24" fillcolor="#9b2d2a" stroked="f"/>
            <v:rect id="_x0000_s1251" style="position:absolute;left:5385;top:2198;width:524;height:3572" filled="f" stroked="f"/>
            <v:rect id="_x0000_s1252" style="position:absolute;left:6115;top:1899;width:540;height:359" fillcolor="#ce3b37" stroked="f"/>
            <v:rect id="_x0000_s1253" style="position:absolute;left:6115;top:2258;width:540;height:406" fillcolor="#cc3c39" stroked="f"/>
            <v:rect id="_x0000_s1254" style="position:absolute;left:6115;top:2664;width:540;height:167" fillcolor="#ca3d3a" stroked="f"/>
            <v:rect id="_x0000_s1255" style="position:absolute;left:6115;top:2831;width:540;height:156" fillcolor="#c83c39" stroked="f"/>
            <v:rect id="_x0000_s1256" style="position:absolute;left:6115;top:2987;width:540;height:167" fillcolor="#c63b38" stroked="f"/>
            <v:rect id="_x0000_s1257" style="position:absolute;left:6115;top:3154;width:540;height:155" fillcolor="#c43b38" stroked="f"/>
            <v:rect id="_x0000_s1258" style="position:absolute;left:6115;top:3309;width:540;height:131" fillcolor="#c23a37" stroked="f"/>
            <v:rect id="_x0000_s1259" style="position:absolute;left:6115;top:3440;width:540;height:120" fillcolor="#c03a37" stroked="f"/>
            <v:rect id="_x0000_s1260" style="position:absolute;left:6115;top:3560;width:540;height:155" fillcolor="#be3936" stroked="f"/>
            <v:rect id="_x0000_s1261" style="position:absolute;left:6115;top:3715;width:540;height:156" fillcolor="#bc3835" stroked="f"/>
            <v:rect id="_x0000_s1262" style="position:absolute;left:6115;top:3871;width:540;height:119" fillcolor="#ba3835" stroked="f"/>
            <v:rect id="_x0000_s1263" style="position:absolute;left:6115;top:3990;width:540;height:119" fillcolor="#b83734" stroked="f"/>
            <v:rect id="_x0000_s1264" style="position:absolute;left:6115;top:4109;width:540;height:120" fillcolor="#b63633" stroked="f"/>
            <v:rect id="_x0000_s1265" style="position:absolute;left:6115;top:4229;width:540;height:131" fillcolor="#b43632" stroked="f"/>
            <v:rect id="_x0000_s1266" style="position:absolute;left:6115;top:4360;width:540;height:144" fillcolor="#b23632" stroked="f"/>
            <v:rect id="_x0000_s1267" style="position:absolute;left:6115;top:4504;width:540;height:83" fillcolor="#b13431" stroked="f"/>
            <v:rect id="_x0000_s1268" style="position:absolute;left:6115;top:4587;width:540;height:132" fillcolor="#af3431" stroked="f"/>
            <v:rect id="_x0000_s1269" style="position:absolute;left:6115;top:4719;width:540;height:119" fillcolor="#ad3330" stroked="f"/>
            <v:rect id="_x0000_s1270" style="position:absolute;left:6115;top:4838;width:540;height:120" fillcolor="#ab3230" stroked="f"/>
            <v:rect id="_x0000_s1271" style="position:absolute;left:6115;top:4958;width:540;height:119" fillcolor="#a9322f" stroked="f"/>
            <v:rect id="_x0000_s1272" style="position:absolute;left:6115;top:5077;width:540;height:120" fillcolor="#a7322e" stroked="f"/>
            <v:rect id="_x0000_s1273" style="position:absolute;left:6115;top:5197;width:540;height:119" fillcolor="#a5312d" stroked="f"/>
            <v:rect id="_x0000_s1274" style="position:absolute;left:6115;top:5316;width:540;height:96" fillcolor="#a3302d" stroked="f"/>
            <v:rect id="_x0000_s1275" style="position:absolute;left:6115;top:5412;width:540;height:95" fillcolor="#a12f2c" stroked="f"/>
            <v:rect id="_x0000_s1276" style="position:absolute;left:6115;top:5507;width:540;height:108" fillcolor="#9f2e2c" stroked="f"/>
            <v:rect id="_x0000_s1277" style="position:absolute;left:6115;top:5615;width:540;height:131" fillcolor="#9d2e2b" stroked="f"/>
            <v:rect id="_x0000_s1278" style="position:absolute;left:6115;top:5746;width:540;height:24" fillcolor="#9b2d2a" stroked="f"/>
            <v:rect id="_x0000_s1279" style="position:absolute;left:6115;top:1899;width:540;height:3871" filled="f" stroked="f"/>
            <v:rect id="_x0000_s1280" style="position:absolute;left:6862;top:1828;width:524;height:370" fillcolor="#ce3b37" stroked="f"/>
            <v:rect id="_x0000_s1281" style="position:absolute;left:6862;top:2198;width:524;height:406" fillcolor="#cc3c39" stroked="f"/>
            <v:rect id="_x0000_s1282" style="position:absolute;left:6862;top:2604;width:524;height:168" fillcolor="#ca3d3a" stroked="f"/>
            <v:rect id="_x0000_s1283" style="position:absolute;left:6862;top:2772;width:524;height:167" fillcolor="#c83c39" stroked="f"/>
            <v:rect id="_x0000_s1284" style="position:absolute;left:6862;top:2939;width:524;height:167" fillcolor="#c63b38" stroked="f"/>
            <v:rect id="_x0000_s1285" style="position:absolute;left:6862;top:3106;width:524;height:155" fillcolor="#c43b38" stroked="f"/>
            <v:rect id="_x0000_s1286" style="position:absolute;left:6862;top:3261;width:524;height:144" fillcolor="#c23a37" stroked="f"/>
            <v:rect id="_x0000_s1287" style="position:absolute;left:6862;top:3405;width:524;height:119" fillcolor="#c03a37" stroked="f"/>
            <v:rect id="_x0000_s1288" style="position:absolute;left:6862;top:3524;width:524;height:155" fillcolor="#be3936" stroked="f"/>
            <v:rect id="_x0000_s1289" style="position:absolute;left:6862;top:3679;width:524;height:156" fillcolor="#bc3835" stroked="f"/>
            <v:rect id="_x0000_s1290" style="position:absolute;left:6862;top:3835;width:524;height:119" fillcolor="#ba3835" stroked="f"/>
            <v:rect id="_x0000_s1291" style="position:absolute;left:6862;top:3954;width:524;height:120" fillcolor="#b83734" stroked="f"/>
            <v:rect id="_x0000_s1292" style="position:absolute;left:6862;top:4074;width:524;height:131" fillcolor="#b63633" stroked="f"/>
            <v:rect id="_x0000_s1293" style="position:absolute;left:6862;top:4205;width:524;height:131" fillcolor="#b43632" stroked="f"/>
            <v:rect id="_x0000_s1294" style="position:absolute;left:6862;top:4336;width:524;height:144" fillcolor="#b23632" stroked="f"/>
            <v:rect id="_x0000_s1295" style="position:absolute;left:6862;top:4480;width:524;height:83" fillcolor="#b13431" stroked="f"/>
            <v:rect id="_x0000_s1296" style="position:absolute;left:6862;top:4563;width:524;height:132" fillcolor="#af3431" stroked="f"/>
            <v:rect id="_x0000_s1297" style="position:absolute;left:6862;top:4695;width:524;height:119" fillcolor="#ad3330" stroked="f"/>
            <v:rect id="_x0000_s1298" style="position:absolute;left:6862;top:4814;width:524;height:120" fillcolor="#ab3230" stroked="f"/>
            <v:rect id="_x0000_s1299" style="position:absolute;left:6862;top:4934;width:524;height:131" fillcolor="#a9322f" stroked="f"/>
            <v:rect id="_x0000_s1300" style="position:absolute;left:6862;top:5065;width:524;height:120" fillcolor="#a7322e" stroked="f"/>
            <v:rect id="_x0000_s1301" style="position:absolute;left:6862;top:5185;width:524;height:119" fillcolor="#a5312d" stroked="f"/>
            <v:rect id="_x0000_s1302" style="position:absolute;left:6862;top:5304;width:524;height:96" fillcolor="#a3302d" stroked="f"/>
            <v:rect id="_x0000_s1303" style="position:absolute;left:6862;top:5400;width:524;height:95" fillcolor="#a12f2c" stroked="f"/>
            <v:rect id="_x0000_s1304" style="position:absolute;left:6862;top:5495;width:524;height:120" fillcolor="#9f2e2c" stroked="f"/>
            <v:rect id="_x0000_s1305" style="position:absolute;left:6862;top:5615;width:524;height:119" fillcolor="#9d2e2b" stroked="f"/>
            <v:rect id="_x0000_s1306" style="position:absolute;left:6862;top:5734;width:524;height:36" fillcolor="#9b2d2a" stroked="f"/>
            <v:rect id="_x0000_s1307" style="position:absolute;left:6862;top:1828;width:524;height:3942" filled="f" stroked="f"/>
            <v:rect id="_x0000_s1308" style="position:absolute;left:7593;top:1254;width:540;height:418" fillcolor="#ce3b37" stroked="f"/>
            <v:rect id="_x0000_s1309" style="position:absolute;left:7593;top:1672;width:540;height:287" fillcolor="#cd3c39" stroked="f"/>
            <v:rect id="_x0000_s1310" style="position:absolute;left:7593;top:1959;width:540;height:287" fillcolor="#cb3d3a" stroked="f"/>
            <v:rect id="_x0000_s1311" style="position:absolute;left:7593;top:2246;width:540;height:179" fillcolor="#c93c39" stroked="f"/>
            <v:rect id="_x0000_s1312" style="position:absolute;left:7593;top:2425;width:540;height:191" fillcolor="#c73c39" stroked="f"/>
            <v:rect id="_x0000_s1313" style="position:absolute;left:7593;top:2616;width:540;height:191" fillcolor="#c53b38" stroked="f"/>
            <v:rect id="_x0000_s1314" style="position:absolute;left:7593;top:2807;width:540;height:180" fillcolor="#c33a37" stroked="f"/>
            <v:rect id="_x0000_s1315" style="position:absolute;left:7593;top:2987;width:540;height:143" fillcolor="#c13a37" stroked="f"/>
            <v:rect id="_x0000_s1316" style="position:absolute;left:7593;top:3130;width:540;height:143" fillcolor="#bf3936" stroked="f"/>
            <v:rect id="_x0000_s1317" style="position:absolute;left:7593;top:3273;width:540;height:191" fillcolor="#bd3936" stroked="f"/>
            <v:rect id="_x0000_s1318" style="position:absolute;left:7593;top:3464;width:540;height:156" fillcolor="#bb3835" stroked="f"/>
            <v:rect id="_x0000_s1319" style="position:absolute;left:7593;top:3620;width:540;height:143" fillcolor="#b93734" stroked="f"/>
            <v:rect id="_x0000_s1320" style="position:absolute;left:7593;top:3763;width:540;height:143" fillcolor="#b73633" stroked="f"/>
            <v:rect id="_x0000_s1321" style="position:absolute;left:7593;top:3906;width:540;height:132" fillcolor="#b53633" stroked="f"/>
            <v:rect id="_x0000_s1322" style="position:absolute;left:7593;top:4038;width:540;height:179" fillcolor="#b33632" stroked="f"/>
            <v:rect id="_x0000_s1323" style="position:absolute;left:7593;top:4217;width:540;height:179" fillcolor="#b13531" stroked="f"/>
            <v:rect id="_x0000_s1324" style="position:absolute;left:7593;top:4396;width:540;height:144" fillcolor="#af3431" stroked="f"/>
            <v:rect id="_x0000_s1325" style="position:absolute;left:7593;top:4540;width:540;height:143" fillcolor="#ad3330" stroked="f"/>
            <v:rect id="_x0000_s1326" style="position:absolute;left:7593;top:4683;width:540;height:131" fillcolor="#ab3230" stroked="f"/>
            <v:rect id="_x0000_s1327" style="position:absolute;left:7593;top:4814;width:540;height:144" fillcolor="#a9322f" stroked="f"/>
            <v:rect id="_x0000_s1328" style="position:absolute;left:7593;top:4958;width:540;height:143" fillcolor="#a7322e" stroked="f"/>
            <v:rect id="_x0000_s1329" style="position:absolute;left:7593;top:5101;width:540;height:131" fillcolor="#a5312d" stroked="f"/>
            <v:rect id="_x0000_s1330" style="position:absolute;left:7593;top:5232;width:540;height:120" fillcolor="#a3302d" stroked="f"/>
            <v:rect id="_x0000_s1331" style="position:absolute;left:7593;top:5352;width:540;height:107" fillcolor="#a12f2c" stroked="f"/>
            <v:rect id="_x0000_s1332" style="position:absolute;left:7593;top:5459;width:540;height:132" fillcolor="#9f2e2c" stroked="f"/>
            <v:rect id="_x0000_s1333" style="position:absolute;left:7593;top:5591;width:540;height:143" fillcolor="#9d2e2b" stroked="f"/>
            <v:rect id="_x0000_s1334" style="position:absolute;left:7593;top:5734;width:540;height:36" fillcolor="#9b2d2a" stroked="f"/>
            <v:rect id="_x0000_s1335" style="position:absolute;left:7593;top:1254;width:540;height:4516" filled="f" stroked="f"/>
            <v:line id="_x0000_s1336" style="position:absolute" from="842,812" to="843,5770" strokecolor="gray" strokeweight="0"/>
            <v:line id="_x0000_s1337" style="position:absolute" from="778,5770" to="842,5771" strokecolor="gray" strokeweight="0"/>
            <v:line id="_x0000_s1338" style="position:absolute" from="778,4874" to="842,4875" strokecolor="gray" strokeweight="0"/>
            <v:line id="_x0000_s1339" style="position:absolute" from="778,3966" to="842,3967" strokecolor="gray" strokeweight="0"/>
            <v:line id="_x0000_s1340" style="position:absolute" from="778,3070" to="842,3071" strokecolor="gray" strokeweight="0"/>
            <v:line id="_x0000_s1341" style="position:absolute" from="778,2162" to="842,2163" strokecolor="gray" strokeweight="0"/>
            <v:line id="_x0000_s1342" style="position:absolute" from="778,1266" to="842,1267" strokecolor="gray" strokeweight="0"/>
            <v:line id="_x0000_s1343" style="position:absolute" from="842,5770" to="8244,5771" strokecolor="gray" strokeweight="0"/>
            <v:line id="_x0000_s1344" style="position:absolute;flip:y" from="842,5770" to="843,5830" strokecolor="gray" strokeweight="0"/>
            <v:line id="_x0000_s1345" style="position:absolute;flip:y" from="1588,5770" to="1589,5830" strokecolor="gray" strokeweight="0"/>
            <v:line id="_x0000_s1346" style="position:absolute;flip:y" from="2319,5770" to="2320,5830" strokecolor="gray" strokeweight="0"/>
            <v:line id="_x0000_s1347" style="position:absolute;flip:y" from="3066,5770" to="3067,5830" strokecolor="gray" strokeweight="0"/>
            <v:line id="_x0000_s1348" style="position:absolute;flip:y" from="3796,5770" to="3797,5830" strokecolor="gray" strokeweight="0"/>
            <v:line id="_x0000_s1349" style="position:absolute;flip:y" from="4543,5770" to="4544,5830" strokecolor="gray" strokeweight="0"/>
            <v:line id="_x0000_s1350" style="position:absolute;flip:y" from="5289,5770" to="5290,5830" strokecolor="gray" strokeweight="0"/>
            <v:line id="_x0000_s1351" style="position:absolute;flip:y" from="6020,5770" to="6021,5830" strokecolor="gray" strokeweight="0"/>
            <v:line id="_x0000_s1352" style="position:absolute;flip:y" from="6767,5770" to="6768,5830" strokecolor="gray" strokeweight="0"/>
            <v:line id="_x0000_s1353" style="position:absolute;flip:y" from="7497,5770" to="7498,5830" strokecolor="gray" strokeweight="0"/>
            <v:line id="_x0000_s1354" style="position:absolute;flip:y" from="8244,5770" to="8245,5830" strokecolor="gray" strokeweight="0"/>
            <v:rect id="_x0000_s1355" style="position:absolute;left:1589;top:388;width:6320;height:342;mso-wrap-style:none;v-text-anchor:top" filled="f" stroked="f">
              <v:textbox style="mso-fit-shape-to-text:t" inset="0,0,0,0">
                <w:txbxContent>
                  <w:p w:rsidR="00897DBF" w:rsidRDefault="00897DBF">
                    <w:r>
                      <w:rPr>
                        <w:rFonts w:ascii="Calibri" w:hAnsi="Calibri" w:cs="Calibri"/>
                        <w:b/>
                        <w:bCs/>
                        <w:color w:val="000000"/>
                        <w:sz w:val="28"/>
                        <w:szCs w:val="28"/>
                        <w:lang w:val="en-US"/>
                      </w:rPr>
                      <w:t>Total net asset value of the Fund over 10 years to date</w:t>
                    </w:r>
                  </w:p>
                </w:txbxContent>
              </v:textbox>
            </v:rect>
            <v:rect id="_x0000_s1356" style="position:absolute;left:921;top:3249;width:456;height:244;mso-wrap-style:none;v-text-anchor:top" filled="f" stroked="f">
              <v:textbox style="mso-fit-shape-to-text:t" inset="0,0,0,0">
                <w:txbxContent>
                  <w:p w:rsidR="00897DBF" w:rsidRDefault="00897DBF">
                    <w:r>
                      <w:rPr>
                        <w:rFonts w:ascii="Calibri" w:hAnsi="Calibri" w:cs="Calibri"/>
                        <w:color w:val="000000"/>
                        <w:sz w:val="20"/>
                        <w:lang w:val="en-US"/>
                      </w:rPr>
                      <w:t>2.449</w:t>
                    </w:r>
                  </w:p>
                </w:txbxContent>
              </v:textbox>
            </v:rect>
            <v:rect id="_x0000_s1357" style="position:absolute;left:1652;top:2951;width:456;height:244;mso-wrap-style:none;v-text-anchor:top" filled="f" stroked="f">
              <v:textbox style="mso-fit-shape-to-text:t" inset="0,0,0,0">
                <w:txbxContent>
                  <w:p w:rsidR="00897DBF" w:rsidRDefault="00897DBF">
                    <w:r>
                      <w:rPr>
                        <w:rFonts w:ascii="Calibri" w:hAnsi="Calibri" w:cs="Calibri"/>
                        <w:color w:val="000000"/>
                        <w:sz w:val="20"/>
                        <w:lang w:val="en-US"/>
                      </w:rPr>
                      <w:t>2.783</w:t>
                    </w:r>
                  </w:p>
                </w:txbxContent>
              </v:textbox>
            </v:rect>
            <v:rect id="_x0000_s1358" style="position:absolute;left:2399;top:2329;width:456;height:244;mso-wrap-style:none;v-text-anchor:top" filled="f" stroked="f">
              <v:textbox style="mso-fit-shape-to-text:t" inset="0,0,0,0">
                <w:txbxContent>
                  <w:p w:rsidR="00897DBF" w:rsidRDefault="00897DBF">
                    <w:r>
                      <w:rPr>
                        <w:rFonts w:ascii="Calibri" w:hAnsi="Calibri" w:cs="Calibri"/>
                        <w:color w:val="000000"/>
                        <w:sz w:val="20"/>
                        <w:lang w:val="en-US"/>
                      </w:rPr>
                      <w:t>3.478</w:t>
                    </w:r>
                  </w:p>
                </w:txbxContent>
              </v:textbox>
            </v:rect>
            <v:rect id="_x0000_s1359" style="position:absolute;left:3129;top:2138;width:456;height:244;mso-wrap-style:none;v-text-anchor:top" filled="f" stroked="f">
              <v:textbox style="mso-fit-shape-to-text:t" inset="0,0,0,0">
                <w:txbxContent>
                  <w:p w:rsidR="00897DBF" w:rsidRDefault="00897DBF">
                    <w:r>
                      <w:rPr>
                        <w:rFonts w:ascii="Calibri" w:hAnsi="Calibri" w:cs="Calibri"/>
                        <w:color w:val="000000"/>
                        <w:sz w:val="20"/>
                        <w:lang w:val="en-US"/>
                      </w:rPr>
                      <w:t>3.689</w:t>
                    </w:r>
                  </w:p>
                </w:txbxContent>
              </v:textbox>
            </v:rect>
            <v:rect id="_x0000_s1360" style="position:absolute;left:3876;top:2150;width:456;height:244;mso-wrap-style:none;v-text-anchor:top" filled="f" stroked="f">
              <v:textbox style="mso-fit-shape-to-text:t" inset="0,0,0,0">
                <w:txbxContent>
                  <w:p w:rsidR="00897DBF" w:rsidRDefault="00897DBF">
                    <w:r>
                      <w:rPr>
                        <w:rFonts w:ascii="Calibri" w:hAnsi="Calibri" w:cs="Calibri"/>
                        <w:color w:val="000000"/>
                        <w:sz w:val="20"/>
                        <w:lang w:val="en-US"/>
                      </w:rPr>
                      <w:t>3.670</w:t>
                    </w:r>
                  </w:p>
                </w:txbxContent>
              </v:textbox>
            </v:rect>
            <v:rect id="_x0000_s1361" style="position:absolute;left:4622;top:2819;width:456;height:244;mso-wrap-style:none;v-text-anchor:top" filled="f" stroked="f">
              <v:textbox style="mso-fit-shape-to-text:t" inset="0,0,0,0">
                <w:txbxContent>
                  <w:p w:rsidR="00897DBF" w:rsidRDefault="00897DBF">
                    <w:r>
                      <w:rPr>
                        <w:rFonts w:ascii="Calibri" w:hAnsi="Calibri" w:cs="Calibri"/>
                        <w:color w:val="000000"/>
                        <w:sz w:val="20"/>
                        <w:lang w:val="en-US"/>
                      </w:rPr>
                      <w:t>2.934</w:t>
                    </w:r>
                  </w:p>
                </w:txbxContent>
              </v:textbox>
            </v:rect>
            <v:rect id="_x0000_s1362" style="position:absolute;left:5353;top:1887;width:456;height:244;mso-wrap-style:none;v-text-anchor:top" filled="f" stroked="f">
              <v:textbox style="mso-fit-shape-to-text:t" inset="0,0,0,0">
                <w:txbxContent>
                  <w:p w:rsidR="00897DBF" w:rsidRDefault="00897DBF">
                    <w:r>
                      <w:rPr>
                        <w:rFonts w:ascii="Calibri" w:hAnsi="Calibri" w:cs="Calibri"/>
                        <w:color w:val="000000"/>
                        <w:sz w:val="20"/>
                        <w:lang w:val="en-US"/>
                      </w:rPr>
                      <w:t>3.962</w:t>
                    </w:r>
                  </w:p>
                </w:txbxContent>
              </v:textbox>
            </v:rect>
            <v:rect id="_x0000_s1363" style="position:absolute;left:6100;top:1589;width:456;height:244;mso-wrap-style:none;v-text-anchor:top" filled="f" stroked="f">
              <v:textbox style="mso-fit-shape-to-text:t" inset="0,0,0,0">
                <w:txbxContent>
                  <w:p w:rsidR="00897DBF" w:rsidRDefault="00897DBF">
                    <w:r>
                      <w:rPr>
                        <w:rFonts w:ascii="Calibri" w:hAnsi="Calibri" w:cs="Calibri"/>
                        <w:color w:val="000000"/>
                        <w:sz w:val="20"/>
                        <w:lang w:val="en-US"/>
                      </w:rPr>
                      <w:t>4.294</w:t>
                    </w:r>
                  </w:p>
                </w:txbxContent>
              </v:textbox>
            </v:rect>
            <v:rect id="_x0000_s1364" style="position:absolute;left:6830;top:1517;width:456;height:244;mso-wrap-style:none;v-text-anchor:top" filled="f" stroked="f">
              <v:textbox style="mso-fit-shape-to-text:t" inset="0,0,0,0">
                <w:txbxContent>
                  <w:p w:rsidR="00897DBF" w:rsidRDefault="00897DBF">
                    <w:r>
                      <w:rPr>
                        <w:rFonts w:ascii="Calibri" w:hAnsi="Calibri" w:cs="Calibri"/>
                        <w:color w:val="000000"/>
                        <w:sz w:val="20"/>
                        <w:lang w:val="en-US"/>
                      </w:rPr>
                      <w:t>4.380</w:t>
                    </w:r>
                  </w:p>
                </w:txbxContent>
              </v:textbox>
            </v:rect>
            <v:rect id="_x0000_s1365" style="position:absolute;left:7577;top:944;width:456;height:244;mso-wrap-style:none;v-text-anchor:top" filled="f" stroked="f">
              <v:textbox style="mso-fit-shape-to-text:t" inset="0,0,0,0">
                <w:txbxContent>
                  <w:p w:rsidR="00897DBF" w:rsidRDefault="00897DBF">
                    <w:r>
                      <w:rPr>
                        <w:rFonts w:ascii="Calibri" w:hAnsi="Calibri" w:cs="Calibri"/>
                        <w:color w:val="000000"/>
                        <w:sz w:val="20"/>
                        <w:lang w:val="en-US"/>
                      </w:rPr>
                      <w:t>5.011</w:t>
                    </w:r>
                  </w:p>
                </w:txbxContent>
              </v:textbox>
            </v:rect>
            <v:rect id="_x0000_s1366" style="position:absolute;left:572;top:5686;width:82;height:195;mso-wrap-style:none;v-text-anchor:top" filled="f" stroked="f">
              <v:textbox style="mso-fit-shape-to-text:t" inset="0,0,0,0">
                <w:txbxContent>
                  <w:p w:rsidR="00897DBF" w:rsidRDefault="00897DBF">
                    <w:r>
                      <w:rPr>
                        <w:rFonts w:ascii="Calibri" w:hAnsi="Calibri" w:cs="Calibri"/>
                        <w:color w:val="000000"/>
                        <w:sz w:val="16"/>
                        <w:szCs w:val="16"/>
                        <w:lang w:val="en-US"/>
                      </w:rPr>
                      <w:t>0</w:t>
                    </w:r>
                  </w:p>
                </w:txbxContent>
              </v:textbox>
            </v:rect>
            <v:rect id="_x0000_s1367" style="position:absolute;left:572;top:4790;width:82;height:195;mso-wrap-style:none;v-text-anchor:top" filled="f" stroked="f">
              <v:textbox style="mso-fit-shape-to-text:t" inset="0,0,0,0">
                <w:txbxContent>
                  <w:p w:rsidR="00897DBF" w:rsidRDefault="00897DBF">
                    <w:r>
                      <w:rPr>
                        <w:rFonts w:ascii="Calibri" w:hAnsi="Calibri" w:cs="Calibri"/>
                        <w:color w:val="000000"/>
                        <w:sz w:val="16"/>
                        <w:szCs w:val="16"/>
                        <w:lang w:val="en-US"/>
                      </w:rPr>
                      <w:t>1</w:t>
                    </w:r>
                  </w:p>
                </w:txbxContent>
              </v:textbox>
            </v:rect>
            <v:rect id="_x0000_s1368" style="position:absolute;left:572;top:3882;width:82;height:195;mso-wrap-style:none;v-text-anchor:top" filled="f" stroked="f">
              <v:textbox style="mso-fit-shape-to-text:t" inset="0,0,0,0">
                <w:txbxContent>
                  <w:p w:rsidR="00897DBF" w:rsidRDefault="00897DBF">
                    <w:r>
                      <w:rPr>
                        <w:rFonts w:ascii="Calibri" w:hAnsi="Calibri" w:cs="Calibri"/>
                        <w:color w:val="000000"/>
                        <w:sz w:val="16"/>
                        <w:szCs w:val="16"/>
                        <w:lang w:val="en-US"/>
                      </w:rPr>
                      <w:t>2</w:t>
                    </w:r>
                  </w:p>
                </w:txbxContent>
              </v:textbox>
            </v:rect>
            <v:rect id="_x0000_s1369" style="position:absolute;left:572;top:2987;width:82;height:195;mso-wrap-style:none;v-text-anchor:top" filled="f" stroked="f">
              <v:textbox style="mso-fit-shape-to-text:t" inset="0,0,0,0">
                <w:txbxContent>
                  <w:p w:rsidR="00897DBF" w:rsidRDefault="00897DBF">
                    <w:r>
                      <w:rPr>
                        <w:rFonts w:ascii="Calibri" w:hAnsi="Calibri" w:cs="Calibri"/>
                        <w:color w:val="000000"/>
                        <w:sz w:val="16"/>
                        <w:szCs w:val="16"/>
                        <w:lang w:val="en-US"/>
                      </w:rPr>
                      <w:t>3</w:t>
                    </w:r>
                  </w:p>
                </w:txbxContent>
              </v:textbox>
            </v:rect>
            <v:rect id="_x0000_s1370" style="position:absolute;left:572;top:2079;width:82;height:195;mso-wrap-style:none;v-text-anchor:top" filled="f" stroked="f">
              <v:textbox style="mso-fit-shape-to-text:t" inset="0,0,0,0">
                <w:txbxContent>
                  <w:p w:rsidR="00897DBF" w:rsidRDefault="00897DBF">
                    <w:r>
                      <w:rPr>
                        <w:rFonts w:ascii="Calibri" w:hAnsi="Calibri" w:cs="Calibri"/>
                        <w:color w:val="000000"/>
                        <w:sz w:val="16"/>
                        <w:szCs w:val="16"/>
                        <w:lang w:val="en-US"/>
                      </w:rPr>
                      <w:t>4</w:t>
                    </w:r>
                  </w:p>
                </w:txbxContent>
              </v:textbox>
            </v:rect>
            <v:rect id="_x0000_s1371" style="position:absolute;left:572;top:1183;width:82;height:195;mso-wrap-style:none;v-text-anchor:top" filled="f" stroked="f">
              <v:textbox style="mso-fit-shape-to-text:t" inset="0,0,0,0">
                <w:txbxContent>
                  <w:p w:rsidR="00897DBF" w:rsidRDefault="00897DBF">
                    <w:r>
                      <w:rPr>
                        <w:rFonts w:ascii="Calibri" w:hAnsi="Calibri" w:cs="Calibri"/>
                        <w:color w:val="000000"/>
                        <w:sz w:val="16"/>
                        <w:szCs w:val="16"/>
                        <w:lang w:val="en-US"/>
                      </w:rPr>
                      <w:t>5</w:t>
                    </w:r>
                  </w:p>
                </w:txbxContent>
              </v:textbox>
            </v:rect>
            <v:rect id="_x0000_s1372" style="position:absolute;left:1259;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2003/04</w:t>
                    </w:r>
                  </w:p>
                </w:txbxContent>
              </v:textbox>
            </v:rect>
            <v:rect id="_x0000_s1373" style="position:absolute;left:2006;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2004/05</w:t>
                    </w:r>
                  </w:p>
                </w:txbxContent>
              </v:textbox>
            </v:rect>
            <v:rect id="_x0000_s1374" style="position:absolute;left:2752;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2005/06</w:t>
                    </w:r>
                  </w:p>
                </w:txbxContent>
              </v:textbox>
            </v:rect>
            <v:rect id="_x0000_s1375" style="position:absolute;left:3483;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2006/07</w:t>
                    </w:r>
                  </w:p>
                </w:txbxContent>
              </v:textbox>
            </v:rect>
            <v:rect id="_x0000_s1376" style="position:absolute;left:4229;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2007/08</w:t>
                    </w:r>
                  </w:p>
                </w:txbxContent>
              </v:textbox>
            </v:rect>
            <v:rect id="_x0000_s1377" style="position:absolute;left:4960;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2008/09</w:t>
                    </w:r>
                  </w:p>
                </w:txbxContent>
              </v:textbox>
            </v:rect>
            <v:rect id="_x0000_s1378" style="position:absolute;left:5707;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2009/10</w:t>
                    </w:r>
                  </w:p>
                </w:txbxContent>
              </v:textbox>
            </v:rect>
            <v:rect id="_x0000_s1379" style="position:absolute;left:6453;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2010/11</w:t>
                    </w:r>
                  </w:p>
                </w:txbxContent>
              </v:textbox>
            </v:rect>
            <v:rect id="_x0000_s1380" style="position:absolute;left:7184;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2011/12</w:t>
                    </w:r>
                  </w:p>
                </w:txbxContent>
              </v:textbox>
            </v:rect>
            <v:rect id="_x0000_s1381" style="position:absolute;left:7930;top:5692;width:244;height:686;rotation:90;mso-wrap-style:none;v-text-anchor:top" filled="f" stroked="f">
              <v:textbox style="mso-fit-shape-to-text:t" inset="0,0,0,0">
                <w:txbxContent>
                  <w:p w:rsidR="00897DBF" w:rsidRDefault="00897DBF">
                    <w:r>
                      <w:rPr>
                        <w:rFonts w:ascii="Calibri" w:hAnsi="Calibri" w:cs="Calibri"/>
                        <w:color w:val="000000"/>
                        <w:sz w:val="20"/>
                        <w:lang w:val="en-US"/>
                      </w:rPr>
                      <w:t>2012/13</w:t>
                    </w:r>
                  </w:p>
                </w:txbxContent>
              </v:textbox>
            </v:rect>
            <v:rect id="_x0000_s1382" style="position:absolute;left:266;top:3795;width:195;height:253;rotation:90;mso-wrap-style:none;v-text-anchor:top" filled="f" stroked="f">
              <v:textbox style="mso-fit-shape-to-text:t" inset="0,0,0,0">
                <w:txbxContent>
                  <w:p w:rsidR="00897DBF" w:rsidRDefault="00897DBF">
                    <w:r>
                      <w:rPr>
                        <w:rFonts w:ascii="Calibri" w:hAnsi="Calibri" w:cs="Calibri"/>
                        <w:b/>
                        <w:bCs/>
                        <w:color w:val="000000"/>
                        <w:sz w:val="16"/>
                        <w:szCs w:val="16"/>
                        <w:lang w:val="en-US"/>
                      </w:rPr>
                      <w:t>£bn</w:t>
                    </w:r>
                  </w:p>
                </w:txbxContent>
              </v:textbox>
            </v:rect>
            <v:rect id="_x0000_s1383" style="position:absolute;left:79;top:60;width:9531;height:6570" filled="f" strokecolor="gray" strokeweight="0"/>
            <w10:wrap type="none"/>
            <w10:anchorlock/>
          </v:group>
        </w:pict>
      </w:r>
    </w:p>
    <w:p w:rsidR="001327AB" w:rsidRPr="003A51FC" w:rsidRDefault="001327AB" w:rsidP="00C333F3">
      <w:pPr>
        <w:autoSpaceDE w:val="0"/>
        <w:autoSpaceDN w:val="0"/>
        <w:adjustRightInd w:val="0"/>
        <w:rPr>
          <w:rFonts w:ascii="Arial-BoldMT" w:hAnsi="Arial-BoldMT" w:cs="Arial-BoldMT"/>
          <w:b/>
          <w:bCs/>
          <w:szCs w:val="24"/>
          <w:highlight w:val="yellow"/>
        </w:rPr>
      </w:pPr>
    </w:p>
    <w:p w:rsidR="001327AB" w:rsidRPr="003A51FC" w:rsidRDefault="001327AB" w:rsidP="00C333F3">
      <w:pPr>
        <w:autoSpaceDE w:val="0"/>
        <w:autoSpaceDN w:val="0"/>
        <w:adjustRightInd w:val="0"/>
        <w:rPr>
          <w:rFonts w:ascii="Arial-BoldMT" w:hAnsi="Arial-BoldMT" w:cs="Arial-BoldMT"/>
          <w:b/>
          <w:bCs/>
          <w:szCs w:val="24"/>
          <w:highlight w:val="yellow"/>
        </w:rPr>
      </w:pPr>
    </w:p>
    <w:p w:rsidR="00CF1D42" w:rsidRPr="00B40220" w:rsidRDefault="00CF1D42" w:rsidP="00CF1D42">
      <w:pPr>
        <w:autoSpaceDE w:val="0"/>
        <w:autoSpaceDN w:val="0"/>
        <w:adjustRightInd w:val="0"/>
        <w:rPr>
          <w:rFonts w:ascii="ArialMT" w:hAnsi="ArialMT" w:cs="ArialMT"/>
        </w:rPr>
      </w:pPr>
      <w:r w:rsidRPr="00B40220">
        <w:rPr>
          <w:rFonts w:ascii="ArialMT" w:hAnsi="ArialMT" w:cs="ArialMT"/>
        </w:rPr>
        <w:t xml:space="preserve">The Fund is invested to meet liabilities over the medium to long-term and therefore its performance should be judged over a corresponding period. Annual returns can be volatile, as seen in 2008/09 and do not necessarily indicate the underlying health of the Fund. </w:t>
      </w:r>
    </w:p>
    <w:p w:rsidR="00CF1D42" w:rsidRPr="00B40220" w:rsidRDefault="00CF1D42" w:rsidP="00CF1D42">
      <w:pPr>
        <w:autoSpaceDE w:val="0"/>
        <w:autoSpaceDN w:val="0"/>
        <w:adjustRightInd w:val="0"/>
        <w:rPr>
          <w:rFonts w:ascii="ArialMT" w:hAnsi="ArialMT" w:cs="ArialMT"/>
        </w:rPr>
      </w:pPr>
    </w:p>
    <w:p w:rsidR="00CF1D42" w:rsidRPr="00B40220" w:rsidRDefault="00CF1D42" w:rsidP="00CF1D42">
      <w:pPr>
        <w:autoSpaceDE w:val="0"/>
        <w:autoSpaceDN w:val="0"/>
        <w:adjustRightInd w:val="0"/>
        <w:rPr>
          <w:rFonts w:ascii="ArialMT" w:hAnsi="ArialMT" w:cs="ArialMT"/>
        </w:rPr>
      </w:pPr>
      <w:r w:rsidRPr="00B40220">
        <w:rPr>
          <w:rFonts w:ascii="ArialMT" w:hAnsi="ArialMT" w:cs="ArialMT"/>
        </w:rPr>
        <w:t>The performance of the Fund is measured against a Fund specific benchmark with individual managers being given performance benchmarks and targets which are linked to index returns for the assets they manage. Details of these can be found in the Statement of Investment Principles.  The Fund also subscribes to the annual WM Survey of UK Local Authority Pension Funds, which shows comparisons with other local authority pension funds. The performance of the investment managers is reviewed on a regular basis by the Panel and any recommendations arising from those reviews are considered by the Committee.</w:t>
      </w:r>
    </w:p>
    <w:p w:rsidR="00CF1D42" w:rsidRPr="00B40220" w:rsidRDefault="00CF1D42" w:rsidP="00CF1D42">
      <w:pPr>
        <w:autoSpaceDE w:val="0"/>
        <w:autoSpaceDN w:val="0"/>
        <w:adjustRightInd w:val="0"/>
        <w:rPr>
          <w:rFonts w:ascii="ArialMT" w:hAnsi="ArialMT" w:cs="ArialMT"/>
          <w:sz w:val="22"/>
          <w:szCs w:val="22"/>
        </w:rPr>
      </w:pPr>
      <w:r w:rsidRPr="00B40220">
        <w:rPr>
          <w:rFonts w:ascii="ArialMT" w:hAnsi="ArialMT" w:cs="ArialMT"/>
          <w:sz w:val="22"/>
          <w:szCs w:val="22"/>
        </w:rPr>
        <w:lastRenderedPageBreak/>
        <w:t xml:space="preserve"> </w:t>
      </w:r>
    </w:p>
    <w:p w:rsidR="00CF1D42" w:rsidRPr="005C48F2" w:rsidRDefault="00CF1D42" w:rsidP="00CF1D42">
      <w:pPr>
        <w:autoSpaceDE w:val="0"/>
        <w:autoSpaceDN w:val="0"/>
        <w:adjustRightInd w:val="0"/>
        <w:rPr>
          <w:rFonts w:ascii="ArialMT" w:hAnsi="ArialMT" w:cs="ArialMT"/>
        </w:rPr>
      </w:pPr>
      <w:r w:rsidRPr="005C48F2">
        <w:rPr>
          <w:rFonts w:ascii="ArialMT" w:hAnsi="ArialMT" w:cs="ArialMT"/>
        </w:rPr>
        <w:t>Looking first at total Fund returns, the chart below shows the total return of the Fund compared to the fund specific benchmark and the average local authority pension fund return measured over 1,3,5 and 10 years to 31 March 2013:</w:t>
      </w:r>
    </w:p>
    <w:p w:rsidR="00897DBF" w:rsidRDefault="00897DBF">
      <w:pPr>
        <w:autoSpaceDE w:val="0"/>
        <w:autoSpaceDN w:val="0"/>
        <w:adjustRightInd w:val="0"/>
        <w:spacing w:before="360"/>
        <w:jc w:val="center"/>
        <w:rPr>
          <w:rFonts w:ascii="ArialMT" w:hAnsi="ArialMT" w:cs="ArialMT"/>
        </w:rPr>
      </w:pPr>
      <w:r>
        <w:rPr>
          <w:noProof/>
        </w:rPr>
        <w:drawing>
          <wp:inline distT="0" distB="0" distL="0" distR="0">
            <wp:extent cx="5886450" cy="343852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897352" cy="3444893"/>
                    </a:xfrm>
                    <a:prstGeom prst="rect">
                      <a:avLst/>
                    </a:prstGeom>
                    <a:noFill/>
                    <a:ln w="9525">
                      <a:noFill/>
                      <a:miter lim="800000"/>
                      <a:headEnd/>
                      <a:tailEnd/>
                    </a:ln>
                  </pic:spPr>
                </pic:pic>
              </a:graphicData>
            </a:graphic>
          </wp:inline>
        </w:drawing>
      </w:r>
    </w:p>
    <w:p w:rsidR="00CF1D42" w:rsidRPr="00FB3FCF" w:rsidRDefault="00CF1D42" w:rsidP="00CF1D42">
      <w:pPr>
        <w:autoSpaceDE w:val="0"/>
        <w:autoSpaceDN w:val="0"/>
        <w:adjustRightInd w:val="0"/>
        <w:spacing w:before="360"/>
        <w:rPr>
          <w:rFonts w:ascii="ArialMT" w:hAnsi="ArialMT" w:cs="ArialMT"/>
        </w:rPr>
      </w:pPr>
      <w:r>
        <w:rPr>
          <w:rFonts w:ascii="ArialMT" w:hAnsi="ArialMT" w:cs="ArialMT"/>
        </w:rPr>
        <w:t>The Fund's return of almost 14.9</w:t>
      </w:r>
      <w:r w:rsidRPr="00194463">
        <w:rPr>
          <w:rFonts w:ascii="ArialMT" w:hAnsi="ArialMT" w:cs="ArialMT"/>
        </w:rPr>
        <w:t>% is</w:t>
      </w:r>
      <w:r w:rsidRPr="0099421C">
        <w:rPr>
          <w:rFonts w:ascii="ArialMT" w:hAnsi="ArialMT" w:cs="ArialMT"/>
        </w:rPr>
        <w:t xml:space="preserve"> </w:t>
      </w:r>
      <w:r w:rsidR="0051624A">
        <w:rPr>
          <w:rFonts w:ascii="ArialMT" w:hAnsi="ArialMT" w:cs="ArialMT"/>
        </w:rPr>
        <w:t>above</w:t>
      </w:r>
      <w:r w:rsidRPr="0099421C">
        <w:rPr>
          <w:rFonts w:ascii="ArialMT" w:hAnsi="ArialMT" w:cs="ArialMT"/>
        </w:rPr>
        <w:t xml:space="preserve"> that of the average local authority pension fund of 13.8%.  It ranks as the </w:t>
      </w:r>
      <w:r w:rsidR="00FB3FCF">
        <w:rPr>
          <w:rFonts w:ascii="ArialMT" w:hAnsi="ArialMT" w:cs="ArialMT"/>
        </w:rPr>
        <w:t>24</w:t>
      </w:r>
      <w:r w:rsidR="00670114" w:rsidRPr="00670114">
        <w:rPr>
          <w:rFonts w:ascii="ArialMT" w:hAnsi="ArialMT" w:cs="ArialMT"/>
          <w:vertAlign w:val="superscript"/>
        </w:rPr>
        <w:t>th</w:t>
      </w:r>
      <w:r w:rsidRPr="0099421C">
        <w:rPr>
          <w:rFonts w:ascii="ArialMT" w:hAnsi="ArialMT" w:cs="ArialMT"/>
        </w:rPr>
        <w:t xml:space="preserve"> percentile in the WM analysis of local authority </w:t>
      </w:r>
      <w:r w:rsidR="00670114" w:rsidRPr="00670114">
        <w:rPr>
          <w:rFonts w:ascii="ArialMT" w:hAnsi="ArialMT" w:cs="ArialMT"/>
        </w:rPr>
        <w:t>funds.</w:t>
      </w:r>
    </w:p>
    <w:p w:rsidR="00CF1D42" w:rsidRPr="00134FD2" w:rsidRDefault="00CF1D42" w:rsidP="00CF1D42">
      <w:pPr>
        <w:autoSpaceDE w:val="0"/>
        <w:autoSpaceDN w:val="0"/>
        <w:adjustRightInd w:val="0"/>
        <w:rPr>
          <w:rFonts w:ascii="ArialMT" w:hAnsi="ArialMT" w:cs="ArialMT"/>
          <w:color w:val="FF0000"/>
        </w:rPr>
      </w:pPr>
    </w:p>
    <w:p w:rsidR="00CF1D42" w:rsidRDefault="00CF1D42" w:rsidP="00CF1D42">
      <w:pPr>
        <w:spacing w:after="200" w:line="276" w:lineRule="auto"/>
      </w:pPr>
      <w:r w:rsidRPr="00855D83">
        <w:t xml:space="preserve">In the year to </w:t>
      </w:r>
      <w:r>
        <w:t>31 March 2013</w:t>
      </w:r>
      <w:r w:rsidRPr="00855D83">
        <w:t xml:space="preserve">, </w:t>
      </w:r>
      <w:r w:rsidR="00253F9F">
        <w:t xml:space="preserve">The </w:t>
      </w:r>
      <w:r w:rsidRPr="00855D83">
        <w:t>Total Fund return amounted to 14.</w:t>
      </w:r>
      <w:r w:rsidR="0051245B">
        <w:t>9</w:t>
      </w:r>
      <w:r w:rsidRPr="00855D83">
        <w:t>% against a benchmark of 13.</w:t>
      </w:r>
      <w:r>
        <w:t>5</w:t>
      </w:r>
      <w:r w:rsidRPr="00855D83">
        <w:t>%. This significantly outperformed the Gilts +2.5% actuarial measure of 7.</w:t>
      </w:r>
      <w:r w:rsidR="009F6A95">
        <w:t>9</w:t>
      </w:r>
      <w:r w:rsidRPr="00855D83">
        <w:t>% for the same period.</w:t>
      </w:r>
      <w:r>
        <w:t xml:space="preserve"> </w:t>
      </w:r>
      <w:r w:rsidRPr="00D333D9">
        <w:t>A significant proportion of this performance was derived from global equities, delivering 20.</w:t>
      </w:r>
      <w:r w:rsidR="009F6A95">
        <w:t>9</w:t>
      </w:r>
      <w:r w:rsidRPr="00D333D9">
        <w:t>% in the year against a benchmark of 18</w:t>
      </w:r>
      <w:r w:rsidR="009F6A95">
        <w:t>.0</w:t>
      </w:r>
      <w:r w:rsidRPr="00D333D9">
        <w:t>%. Property and Bond</w:t>
      </w:r>
      <w:r w:rsidR="00253F9F">
        <w:t>s</w:t>
      </w:r>
      <w:r w:rsidRPr="00D333D9">
        <w:t xml:space="preserve"> asset classes also exceeded their respective benchmarks, with non-investment grade assets being approximately on parity. Infrastructure assets, whose performance has been strong throughout the</w:t>
      </w:r>
      <w:r w:rsidR="00253F9F">
        <w:t xml:space="preserve"> </w:t>
      </w:r>
      <w:r w:rsidRPr="00D333D9">
        <w:t xml:space="preserve">year, has now fallen back as the significant returns produced by </w:t>
      </w:r>
      <w:r>
        <w:t xml:space="preserve">the </w:t>
      </w:r>
      <w:r w:rsidRPr="00D333D9">
        <w:t xml:space="preserve">Red Rose </w:t>
      </w:r>
      <w:r>
        <w:t xml:space="preserve">infrastructure vehicle </w:t>
      </w:r>
      <w:r w:rsidRPr="00D333D9">
        <w:t>dropped out of the one year rolling performance.</w:t>
      </w:r>
    </w:p>
    <w:p w:rsidR="00CF1D42" w:rsidRDefault="00CF1D42" w:rsidP="00CF1D42">
      <w:pPr>
        <w:spacing w:after="200" w:line="276" w:lineRule="auto"/>
      </w:pPr>
      <w:r w:rsidRPr="00D333D9">
        <w:t>Whilst all of the new equity managers have produced significant returns since the October 2012 inception</w:t>
      </w:r>
      <w:r w:rsidR="0051624A">
        <w:t xml:space="preserve"> of their mandates</w:t>
      </w:r>
      <w:r w:rsidRPr="00D333D9">
        <w:t xml:space="preserve">, Baillie Gifford, MFS, and </w:t>
      </w:r>
      <w:r w:rsidR="00E67EAE">
        <w:t>NGAM</w:t>
      </w:r>
      <w:r w:rsidRPr="00D333D9">
        <w:t xml:space="preserve"> have exceeded their benchmarks most notably</w:t>
      </w:r>
      <w:r w:rsidR="0051624A">
        <w:t xml:space="preserve"> with the other two manage</w:t>
      </w:r>
      <w:r w:rsidR="004A64B1">
        <w:t xml:space="preserve">rs, with </w:t>
      </w:r>
      <w:r w:rsidR="0051624A">
        <w:t>more defensive strategies</w:t>
      </w:r>
      <w:r w:rsidR="004A64B1">
        <w:t>,</w:t>
      </w:r>
      <w:r w:rsidR="0051624A">
        <w:t xml:space="preserve"> also close to benchmark</w:t>
      </w:r>
      <w:r w:rsidRPr="00D333D9">
        <w:t xml:space="preserve">. Capital Dynamics </w:t>
      </w:r>
      <w:r>
        <w:t>produced a disappointing return of 3.5% for the year to 31 March 2013 against a benchmark of 16.</w:t>
      </w:r>
      <w:r w:rsidR="009F6A95">
        <w:t>8</w:t>
      </w:r>
      <w:r>
        <w:t xml:space="preserve">% but </w:t>
      </w:r>
      <w:r w:rsidRPr="00D333D9">
        <w:t>continues to provide strong long-term performance with returns of 9.</w:t>
      </w:r>
      <w:r w:rsidR="009F6A95">
        <w:t>9</w:t>
      </w:r>
      <w:r w:rsidRPr="00D333D9">
        <w:t>% since inception against a benchmark of 4.98%.</w:t>
      </w:r>
    </w:p>
    <w:p w:rsidR="00CF1D42" w:rsidRPr="00B40220" w:rsidRDefault="00CF1D42" w:rsidP="00CF1D42">
      <w:pPr>
        <w:autoSpaceDE w:val="0"/>
        <w:autoSpaceDN w:val="0"/>
        <w:adjustRightInd w:val="0"/>
        <w:spacing w:line="276" w:lineRule="auto"/>
        <w:rPr>
          <w:rFonts w:ascii="ArialMT" w:hAnsi="ArialMT" w:cs="ArialMT"/>
        </w:rPr>
      </w:pPr>
      <w:r w:rsidRPr="00194463">
        <w:t xml:space="preserve">The Fund’s investment managers are set performance targets as shown in the </w:t>
      </w:r>
      <w:hyperlink r:id="rId20" w:history="1">
        <w:r w:rsidR="00701F50" w:rsidRPr="00701F50">
          <w:rPr>
            <w:rStyle w:val="Hyperlink"/>
          </w:rPr>
          <w:t>Statement of Investment Principles</w:t>
        </w:r>
      </w:hyperlink>
      <w:r w:rsidRPr="00194463">
        <w:t xml:space="preserve">. The overall performance target of each manager is measured over rolling three and five year periods, as inevitably there will be short-term fluctuations in performance. These targets are set for the active managers i.e. those with a mandate to outperform a </w:t>
      </w:r>
      <w:r w:rsidRPr="00194463">
        <w:lastRenderedPageBreak/>
        <w:t>benchmark through active stock picking and</w:t>
      </w:r>
      <w:r w:rsidRPr="00B40220">
        <w:rPr>
          <w:rFonts w:ascii="ArialMT" w:hAnsi="ArialMT" w:cs="ArialMT"/>
        </w:rPr>
        <w:t xml:space="preserve"> sector allocations. The transition portfolio and that managed by </w:t>
      </w:r>
      <w:proofErr w:type="gramStart"/>
      <w:r w:rsidRPr="00B40220">
        <w:rPr>
          <w:rFonts w:ascii="ArialMT" w:hAnsi="ArialMT" w:cs="ArialMT"/>
        </w:rPr>
        <w:t>Legal</w:t>
      </w:r>
      <w:proofErr w:type="gramEnd"/>
      <w:r w:rsidRPr="00B40220">
        <w:rPr>
          <w:rFonts w:ascii="ArialMT" w:hAnsi="ArialMT" w:cs="ArialMT"/>
        </w:rPr>
        <w:t xml:space="preserve"> and General are passive portfolios where the manager seeks to track the benchmark.</w:t>
      </w:r>
    </w:p>
    <w:p w:rsidR="00CF1D42" w:rsidRPr="00B40220" w:rsidRDefault="00CF1D42" w:rsidP="00CF1D42">
      <w:pPr>
        <w:autoSpaceDE w:val="0"/>
        <w:autoSpaceDN w:val="0"/>
        <w:adjustRightInd w:val="0"/>
        <w:rPr>
          <w:rFonts w:ascii="ArialMT" w:hAnsi="ArialMT" w:cs="ArialMT"/>
        </w:rPr>
      </w:pPr>
    </w:p>
    <w:p w:rsidR="00CF1D42" w:rsidRDefault="00CF1D42" w:rsidP="00CF1D42">
      <w:pPr>
        <w:autoSpaceDE w:val="0"/>
        <w:autoSpaceDN w:val="0"/>
        <w:adjustRightInd w:val="0"/>
        <w:spacing w:line="276" w:lineRule="auto"/>
        <w:rPr>
          <w:rFonts w:ascii="ArialMT" w:hAnsi="ArialMT" w:cs="ArialMT"/>
        </w:rPr>
      </w:pPr>
      <w:r w:rsidRPr="00B40220">
        <w:rPr>
          <w:rFonts w:ascii="ArialMT" w:hAnsi="ArialMT" w:cs="ArialMT"/>
        </w:rPr>
        <w:t>Active managers have the discretion to invest a smaller or greater amount than the benchmark allocation, within agreed constraints and tolerances. These decisions will reflect their views on market conditions within various countries or between different types of instruments. The one year performance of the managers</w:t>
      </w:r>
      <w:r w:rsidR="001D4D59">
        <w:rPr>
          <w:rFonts w:ascii="ArialMT" w:hAnsi="ArialMT" w:cs="ArialMT"/>
        </w:rPr>
        <w:t xml:space="preserve"> and asset classes</w:t>
      </w:r>
      <w:r w:rsidRPr="00B40220">
        <w:rPr>
          <w:rFonts w:ascii="ArialMT" w:hAnsi="ArialMT" w:cs="ArialMT"/>
        </w:rPr>
        <w:t xml:space="preserve"> to 31 March 2013 </w:t>
      </w:r>
      <w:r w:rsidR="00376AEA">
        <w:rPr>
          <w:rFonts w:ascii="ArialMT" w:hAnsi="ArialMT" w:cs="ArialMT"/>
        </w:rPr>
        <w:t>are</w:t>
      </w:r>
      <w:r w:rsidRPr="00B40220">
        <w:rPr>
          <w:rFonts w:ascii="ArialMT" w:hAnsi="ArialMT" w:cs="ArialMT"/>
        </w:rPr>
        <w:t xml:space="preserve"> shown in the </w:t>
      </w:r>
      <w:r w:rsidR="001D4D59">
        <w:rPr>
          <w:rFonts w:ascii="ArialMT" w:hAnsi="ArialMT" w:cs="ArialMT"/>
        </w:rPr>
        <w:t xml:space="preserve">following </w:t>
      </w:r>
      <w:r w:rsidRPr="00B40220">
        <w:rPr>
          <w:rFonts w:ascii="ArialMT" w:hAnsi="ArialMT" w:cs="ArialMT"/>
        </w:rPr>
        <w:t>chart</w:t>
      </w:r>
      <w:r w:rsidR="001D4D59">
        <w:rPr>
          <w:rFonts w:ascii="ArialMT" w:hAnsi="ArialMT" w:cs="ArialMT"/>
        </w:rPr>
        <w:t>s</w:t>
      </w:r>
      <w:r w:rsidRPr="00B40220">
        <w:rPr>
          <w:rFonts w:ascii="ArialMT" w:hAnsi="ArialMT" w:cs="ArialMT"/>
        </w:rPr>
        <w:t>:</w:t>
      </w:r>
    </w:p>
    <w:p w:rsidR="004848F6" w:rsidRDefault="004848F6" w:rsidP="00CF1D42">
      <w:pPr>
        <w:autoSpaceDE w:val="0"/>
        <w:autoSpaceDN w:val="0"/>
        <w:adjustRightInd w:val="0"/>
        <w:spacing w:line="276" w:lineRule="auto"/>
        <w:rPr>
          <w:rFonts w:ascii="ArialMT" w:hAnsi="ArialMT" w:cs="ArialMT"/>
        </w:rPr>
      </w:pPr>
    </w:p>
    <w:p w:rsidR="00F329FF" w:rsidRDefault="00897DBF" w:rsidP="00CF1D42">
      <w:pPr>
        <w:autoSpaceDE w:val="0"/>
        <w:autoSpaceDN w:val="0"/>
        <w:adjustRightInd w:val="0"/>
        <w:spacing w:line="276" w:lineRule="auto"/>
        <w:rPr>
          <w:rFonts w:ascii="ArialMT" w:hAnsi="ArialMT" w:cs="ArialMT"/>
        </w:rPr>
      </w:pPr>
      <w:r>
        <w:rPr>
          <w:rFonts w:ascii="ArialMT" w:hAnsi="ArialMT" w:cs="ArialMT"/>
          <w:noProof/>
        </w:rPr>
        <w:drawing>
          <wp:inline distT="0" distB="0" distL="0" distR="0">
            <wp:extent cx="5943600" cy="4371975"/>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70114" w:rsidRPr="00670114">
        <w:rPr>
          <w:rFonts w:ascii="ArialMT" w:hAnsi="ArialMT" w:cs="ArialMT"/>
          <w:highlight w:val="yellow"/>
        </w:rPr>
        <w:t xml:space="preserve"> </w:t>
      </w:r>
    </w:p>
    <w:p w:rsidR="005D2A19" w:rsidRDefault="005D2A19" w:rsidP="005D2A19">
      <w:pPr>
        <w:autoSpaceDE w:val="0"/>
        <w:autoSpaceDN w:val="0"/>
        <w:adjustRightInd w:val="0"/>
        <w:rPr>
          <w:rFonts w:ascii="ArialMT" w:hAnsi="ArialMT" w:cs="ArialMT"/>
          <w:szCs w:val="24"/>
          <w:highlight w:val="yellow"/>
        </w:rPr>
      </w:pPr>
    </w:p>
    <w:p w:rsidR="00376AEA" w:rsidRDefault="00DA1052" w:rsidP="005D2A19">
      <w:pPr>
        <w:autoSpaceDE w:val="0"/>
        <w:autoSpaceDN w:val="0"/>
        <w:adjustRightInd w:val="0"/>
        <w:rPr>
          <w:rFonts w:ascii="ArialMT" w:hAnsi="ArialMT" w:cs="ArialMT"/>
          <w:szCs w:val="24"/>
        </w:rPr>
      </w:pPr>
      <w:r>
        <w:rPr>
          <w:rFonts w:ascii="ArialMT" w:hAnsi="ArialMT" w:cs="ArialMT"/>
          <w:szCs w:val="24"/>
        </w:rPr>
        <w:t xml:space="preserve"> </w:t>
      </w:r>
    </w:p>
    <w:p w:rsidR="005D2A19" w:rsidRDefault="00DA1052" w:rsidP="005D2A19">
      <w:pPr>
        <w:autoSpaceDE w:val="0"/>
        <w:autoSpaceDN w:val="0"/>
        <w:adjustRightInd w:val="0"/>
        <w:rPr>
          <w:rFonts w:ascii="ArialMT" w:hAnsi="ArialMT" w:cs="ArialMT"/>
          <w:color w:val="FF0000"/>
          <w:szCs w:val="24"/>
        </w:rPr>
      </w:pPr>
      <w:r>
        <w:rPr>
          <w:rFonts w:ascii="ArialMT" w:hAnsi="ArialMT" w:cs="ArialMT"/>
          <w:szCs w:val="24"/>
        </w:rPr>
        <w:t>As part of an overall portfolio strategy Robeco and Morgan Stanley were hired as defen</w:t>
      </w:r>
      <w:r w:rsidR="0051624A">
        <w:rPr>
          <w:rFonts w:ascii="ArialMT" w:hAnsi="ArialMT" w:cs="ArialMT"/>
          <w:szCs w:val="24"/>
        </w:rPr>
        <w:t>sive</w:t>
      </w:r>
      <w:r>
        <w:rPr>
          <w:rFonts w:ascii="ArialMT" w:hAnsi="ArialMT" w:cs="ArialMT"/>
          <w:szCs w:val="24"/>
        </w:rPr>
        <w:t xml:space="preserve"> managers.  As expected in a strongly performing market they have underperformed their benchmark.  NGAM and MFS were appointed with a growth bias and the significant out </w:t>
      </w:r>
      <w:r w:rsidR="0062087E">
        <w:rPr>
          <w:rFonts w:ascii="ArialMT" w:hAnsi="ArialMT" w:cs="ArialMT"/>
          <w:szCs w:val="24"/>
        </w:rPr>
        <w:t>-</w:t>
      </w:r>
      <w:r>
        <w:rPr>
          <w:rFonts w:ascii="ArialMT" w:hAnsi="ArialMT" w:cs="ArialMT"/>
          <w:szCs w:val="24"/>
        </w:rPr>
        <w:t xml:space="preserve">performance against benchmark reflects this.  </w:t>
      </w:r>
      <w:r w:rsidR="00257D26">
        <w:rPr>
          <w:rFonts w:ascii="ArialMT" w:hAnsi="ArialMT" w:cs="ArialMT"/>
          <w:szCs w:val="24"/>
        </w:rPr>
        <w:t>It can be argued that the long term nature of Private Equity and Infrastructure allocations are such that one year measures are invalid, as investment during the initial stages (years 1-3) generates returns in the later stages (years4-7).</w:t>
      </w:r>
    </w:p>
    <w:p w:rsidR="00F329FF" w:rsidRDefault="00F329FF" w:rsidP="00F329FF">
      <w:pPr>
        <w:autoSpaceDE w:val="0"/>
        <w:autoSpaceDN w:val="0"/>
        <w:adjustRightInd w:val="0"/>
        <w:rPr>
          <w:rFonts w:ascii="ArialMT" w:hAnsi="ArialMT" w:cs="ArialMT"/>
          <w:szCs w:val="24"/>
          <w:highlight w:val="yellow"/>
        </w:rPr>
      </w:pPr>
    </w:p>
    <w:p w:rsidR="002B5630" w:rsidRDefault="00897DBF" w:rsidP="00F329FF">
      <w:pPr>
        <w:autoSpaceDE w:val="0"/>
        <w:autoSpaceDN w:val="0"/>
        <w:adjustRightInd w:val="0"/>
        <w:rPr>
          <w:rFonts w:ascii="ArialMT" w:hAnsi="ArialMT" w:cs="ArialMT"/>
          <w:szCs w:val="24"/>
          <w:highlight w:val="yellow"/>
        </w:rPr>
      </w:pPr>
      <w:r>
        <w:rPr>
          <w:rFonts w:ascii="ArialMT" w:hAnsi="ArialMT" w:cs="ArialMT"/>
          <w:noProof/>
          <w:szCs w:val="24"/>
        </w:rPr>
        <w:lastRenderedPageBreak/>
        <w:drawing>
          <wp:inline distT="0" distB="0" distL="0" distR="0">
            <wp:extent cx="5943600" cy="3276600"/>
            <wp:effectExtent l="19050" t="0" r="19050" b="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5630" w:rsidRDefault="002B5630" w:rsidP="00F329FF">
      <w:pPr>
        <w:autoSpaceDE w:val="0"/>
        <w:autoSpaceDN w:val="0"/>
        <w:adjustRightInd w:val="0"/>
        <w:rPr>
          <w:rFonts w:ascii="ArialMT" w:hAnsi="ArialMT" w:cs="ArialMT"/>
          <w:szCs w:val="24"/>
          <w:highlight w:val="yellow"/>
        </w:rPr>
      </w:pPr>
    </w:p>
    <w:p w:rsidR="002B5630" w:rsidRDefault="002B5630" w:rsidP="00F329FF">
      <w:pPr>
        <w:autoSpaceDE w:val="0"/>
        <w:autoSpaceDN w:val="0"/>
        <w:adjustRightInd w:val="0"/>
        <w:rPr>
          <w:rFonts w:ascii="ArialMT" w:hAnsi="ArialMT" w:cs="ArialMT"/>
          <w:szCs w:val="24"/>
          <w:highlight w:val="yellow"/>
        </w:rPr>
      </w:pPr>
    </w:p>
    <w:p w:rsidR="00F329FF" w:rsidRPr="00B40220" w:rsidRDefault="00670114" w:rsidP="00CF1D42">
      <w:pPr>
        <w:autoSpaceDE w:val="0"/>
        <w:autoSpaceDN w:val="0"/>
        <w:adjustRightInd w:val="0"/>
        <w:spacing w:line="276" w:lineRule="auto"/>
        <w:rPr>
          <w:rFonts w:ascii="ArialMT" w:hAnsi="ArialMT" w:cs="ArialMT"/>
        </w:rPr>
      </w:pPr>
      <w:r w:rsidRPr="00670114">
        <w:rPr>
          <w:rFonts w:ascii="ArialMT" w:hAnsi="ArialMT" w:cs="ArialMT"/>
          <w:szCs w:val="24"/>
        </w:rPr>
        <w:t xml:space="preserve">Emerging markets are passively managed and have therefore performed on a par with their benchmark.  </w:t>
      </w:r>
      <w:r w:rsidR="00E24A7A">
        <w:rPr>
          <w:rFonts w:ascii="ArialMT" w:hAnsi="ArialMT" w:cs="ArialMT"/>
          <w:szCs w:val="24"/>
        </w:rPr>
        <w:t>Whilst both c</w:t>
      </w:r>
      <w:r w:rsidRPr="00670114">
        <w:rPr>
          <w:rFonts w:ascii="ArialMT" w:hAnsi="ArialMT" w:cs="ArialMT"/>
          <w:szCs w:val="24"/>
        </w:rPr>
        <w:t xml:space="preserve">redit funds </w:t>
      </w:r>
      <w:r w:rsidR="00376AEA">
        <w:rPr>
          <w:rFonts w:ascii="ArialMT" w:hAnsi="ArialMT" w:cs="ArialMT"/>
          <w:szCs w:val="24"/>
        </w:rPr>
        <w:t xml:space="preserve">and </w:t>
      </w:r>
      <w:r w:rsidR="00E24A7A">
        <w:rPr>
          <w:rFonts w:ascii="ArialMT" w:hAnsi="ArialMT" w:cs="ArialMT"/>
          <w:szCs w:val="24"/>
        </w:rPr>
        <w:t>i</w:t>
      </w:r>
      <w:r w:rsidR="00376AEA">
        <w:rPr>
          <w:rFonts w:ascii="ArialMT" w:hAnsi="ArialMT" w:cs="ArialMT"/>
          <w:szCs w:val="24"/>
        </w:rPr>
        <w:t xml:space="preserve">nfrastructure </w:t>
      </w:r>
      <w:r w:rsidR="00E24A7A">
        <w:rPr>
          <w:rFonts w:ascii="ArialMT" w:hAnsi="ArialMT" w:cs="ArialMT"/>
          <w:szCs w:val="24"/>
        </w:rPr>
        <w:t>are in</w:t>
      </w:r>
      <w:r w:rsidRPr="00670114">
        <w:rPr>
          <w:rFonts w:ascii="ArialMT" w:hAnsi="ArialMT" w:cs="ArialMT"/>
          <w:szCs w:val="24"/>
        </w:rPr>
        <w:t xml:space="preserve"> the early stages of investment</w:t>
      </w:r>
      <w:r w:rsidR="00E24A7A">
        <w:rPr>
          <w:rFonts w:ascii="ArialMT" w:hAnsi="ArialMT" w:cs="ArialMT"/>
          <w:szCs w:val="24"/>
        </w:rPr>
        <w:t xml:space="preserve">, </w:t>
      </w:r>
      <w:r w:rsidR="00376AEA">
        <w:rPr>
          <w:rFonts w:ascii="ArialMT" w:hAnsi="ArialMT" w:cs="ArialMT"/>
          <w:szCs w:val="24"/>
        </w:rPr>
        <w:t>credit funds are</w:t>
      </w:r>
      <w:r w:rsidRPr="00670114">
        <w:rPr>
          <w:rFonts w:ascii="ArialMT" w:hAnsi="ArialMT" w:cs="ArialMT"/>
          <w:szCs w:val="24"/>
        </w:rPr>
        <w:t xml:space="preserve"> currently performing on a par with their benchmark</w:t>
      </w:r>
      <w:r w:rsidR="00E24A7A">
        <w:rPr>
          <w:rFonts w:ascii="ArialMT" w:hAnsi="ArialMT" w:cs="ArialMT"/>
          <w:szCs w:val="24"/>
        </w:rPr>
        <w:t xml:space="preserve"> whereas i</w:t>
      </w:r>
      <w:r w:rsidRPr="00670114">
        <w:rPr>
          <w:rFonts w:ascii="ArialMT" w:hAnsi="ArialMT" w:cs="ArialMT"/>
          <w:szCs w:val="24"/>
        </w:rPr>
        <w:t xml:space="preserve">nfrastructure </w:t>
      </w:r>
      <w:r w:rsidR="00E24A7A">
        <w:rPr>
          <w:rFonts w:ascii="ArialMT" w:hAnsi="ArialMT" w:cs="ArialMT"/>
          <w:szCs w:val="24"/>
        </w:rPr>
        <w:t xml:space="preserve">as expected </w:t>
      </w:r>
      <w:r w:rsidR="0051624A">
        <w:rPr>
          <w:rFonts w:ascii="ArialMT" w:hAnsi="ArialMT" w:cs="ArialMT"/>
          <w:szCs w:val="24"/>
        </w:rPr>
        <w:t xml:space="preserve">at a relatively early stage in the investment cycle </w:t>
      </w:r>
      <w:r w:rsidR="00E24A7A">
        <w:rPr>
          <w:rFonts w:ascii="ArialMT" w:hAnsi="ArialMT" w:cs="ArialMT"/>
          <w:szCs w:val="24"/>
        </w:rPr>
        <w:t>is performing below benchmark</w:t>
      </w:r>
      <w:r w:rsidRPr="00670114">
        <w:rPr>
          <w:rFonts w:ascii="ArialMT" w:hAnsi="ArialMT" w:cs="ArialMT"/>
          <w:szCs w:val="24"/>
        </w:rPr>
        <w:t>.</w:t>
      </w:r>
      <w:r w:rsidR="00E24A7A">
        <w:rPr>
          <w:rFonts w:ascii="ArialMT" w:hAnsi="ArialMT" w:cs="ArialMT"/>
          <w:szCs w:val="24"/>
        </w:rPr>
        <w:t xml:space="preserve">  </w:t>
      </w:r>
    </w:p>
    <w:p w:rsidR="00897DBF" w:rsidRDefault="00897DBF">
      <w:pPr>
        <w:autoSpaceDE w:val="0"/>
        <w:autoSpaceDN w:val="0"/>
        <w:adjustRightInd w:val="0"/>
        <w:jc w:val="center"/>
        <w:rPr>
          <w:rFonts w:ascii="Arial-BoldMT" w:hAnsi="Arial-BoldMT" w:cs="Arial-BoldMT"/>
          <w:b/>
          <w:bCs/>
          <w:szCs w:val="24"/>
          <w:highlight w:val="yellow"/>
        </w:rPr>
      </w:pPr>
    </w:p>
    <w:p w:rsidR="00A769C6" w:rsidRPr="003A51FC" w:rsidRDefault="00A769C6" w:rsidP="00980A45">
      <w:pPr>
        <w:autoSpaceDE w:val="0"/>
        <w:autoSpaceDN w:val="0"/>
        <w:adjustRightInd w:val="0"/>
        <w:rPr>
          <w:rFonts w:ascii="ArialMT" w:hAnsi="ArialMT" w:cs="ArialMT"/>
          <w:highlight w:val="yellow"/>
        </w:rPr>
      </w:pPr>
    </w:p>
    <w:p w:rsidR="00361656" w:rsidRPr="003A51FC" w:rsidRDefault="00897DBF" w:rsidP="00C333F3">
      <w:pPr>
        <w:autoSpaceDE w:val="0"/>
        <w:autoSpaceDN w:val="0"/>
        <w:adjustRightInd w:val="0"/>
        <w:rPr>
          <w:rFonts w:ascii="Arial-BoldMT" w:hAnsi="Arial-BoldMT" w:cs="Arial-BoldMT"/>
          <w:b/>
          <w:bCs/>
          <w:szCs w:val="24"/>
          <w:highlight w:val="yellow"/>
        </w:rPr>
      </w:pPr>
      <w:r>
        <w:rPr>
          <w:rFonts w:ascii="Arial-BoldMT" w:hAnsi="Arial-BoldMT" w:cs="Arial-BoldMT"/>
          <w:b/>
          <w:bCs/>
          <w:noProof/>
          <w:szCs w:val="24"/>
        </w:rPr>
        <w:drawing>
          <wp:inline distT="0" distB="0" distL="0" distR="0">
            <wp:extent cx="6286500" cy="3752850"/>
            <wp:effectExtent l="19050" t="0" r="19050" b="0"/>
            <wp:docPr id="7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1656" w:rsidRPr="003A51FC" w:rsidRDefault="00361656" w:rsidP="00C333F3">
      <w:pPr>
        <w:autoSpaceDE w:val="0"/>
        <w:autoSpaceDN w:val="0"/>
        <w:adjustRightInd w:val="0"/>
        <w:rPr>
          <w:rFonts w:ascii="Arial-BoldMT" w:hAnsi="Arial-BoldMT" w:cs="Arial-BoldMT"/>
          <w:b/>
          <w:bCs/>
          <w:szCs w:val="24"/>
          <w:highlight w:val="yellow"/>
        </w:rPr>
      </w:pPr>
      <w:bookmarkStart w:id="0" w:name="_GoBack"/>
      <w:bookmarkEnd w:id="0"/>
    </w:p>
    <w:p w:rsidR="00FA3AD8" w:rsidRDefault="00FA3AD8" w:rsidP="00C333F3">
      <w:pPr>
        <w:autoSpaceDE w:val="0"/>
        <w:autoSpaceDN w:val="0"/>
        <w:adjustRightInd w:val="0"/>
        <w:rPr>
          <w:rFonts w:ascii="ArialMT" w:hAnsi="ArialMT" w:cs="ArialMT"/>
        </w:rPr>
      </w:pPr>
    </w:p>
    <w:p w:rsidR="00FA3AD8" w:rsidRDefault="00FA3AD8" w:rsidP="00C333F3">
      <w:pPr>
        <w:autoSpaceDE w:val="0"/>
        <w:autoSpaceDN w:val="0"/>
        <w:adjustRightInd w:val="0"/>
        <w:rPr>
          <w:rFonts w:ascii="ArialMT" w:hAnsi="ArialMT" w:cs="ArialMT"/>
        </w:rPr>
      </w:pPr>
    </w:p>
    <w:p w:rsidR="009342DD" w:rsidRPr="00E24A7A" w:rsidRDefault="00670114" w:rsidP="00C333F3">
      <w:pPr>
        <w:autoSpaceDE w:val="0"/>
        <w:autoSpaceDN w:val="0"/>
        <w:adjustRightInd w:val="0"/>
        <w:rPr>
          <w:rFonts w:ascii="ArialMT" w:hAnsi="ArialMT" w:cs="ArialMT"/>
        </w:rPr>
      </w:pPr>
      <w:r w:rsidRPr="00670114">
        <w:rPr>
          <w:rFonts w:ascii="ArialMT" w:hAnsi="ArialMT" w:cs="ArialMT"/>
        </w:rPr>
        <w:t>As a result of substantial asset allocation classes changes made in the period</w:t>
      </w:r>
      <w:r w:rsidR="007B7423">
        <w:rPr>
          <w:rFonts w:ascii="ArialMT" w:hAnsi="ArialMT" w:cs="ArialMT"/>
        </w:rPr>
        <w:t>,</w:t>
      </w:r>
      <w:r w:rsidRPr="00670114">
        <w:rPr>
          <w:rFonts w:ascii="ArialMT" w:hAnsi="ArialMT" w:cs="ArialMT"/>
        </w:rPr>
        <w:t xml:space="preserve"> the total fund performance is ahead of benchmark and ahead of actuarial assumptions.</w:t>
      </w:r>
    </w:p>
    <w:p w:rsidR="009342DD" w:rsidRPr="00E24A7A" w:rsidRDefault="009342DD" w:rsidP="00C333F3">
      <w:pPr>
        <w:autoSpaceDE w:val="0"/>
        <w:autoSpaceDN w:val="0"/>
        <w:adjustRightInd w:val="0"/>
        <w:rPr>
          <w:rFonts w:ascii="Arial-BoldMT" w:hAnsi="Arial-BoldMT" w:cs="Arial-BoldMT"/>
          <w:b/>
          <w:bCs/>
          <w:szCs w:val="24"/>
        </w:rPr>
      </w:pPr>
    </w:p>
    <w:p w:rsidR="00CF1D42" w:rsidRDefault="00670114" w:rsidP="00CF1D42">
      <w:pPr>
        <w:autoSpaceDE w:val="0"/>
        <w:autoSpaceDN w:val="0"/>
        <w:adjustRightInd w:val="0"/>
        <w:rPr>
          <w:rFonts w:ascii="ArialMT" w:hAnsi="ArialMT" w:cs="ArialMT"/>
        </w:rPr>
      </w:pPr>
      <w:r w:rsidRPr="00670114">
        <w:rPr>
          <w:rFonts w:ascii="ArialMT" w:hAnsi="ArialMT" w:cs="ArialMT"/>
        </w:rPr>
        <w:t>An analysis of the specialist managers’ performance since inception is shown in the chart below:</w:t>
      </w:r>
    </w:p>
    <w:p w:rsidR="00897DBF" w:rsidRDefault="00897DBF">
      <w:pPr>
        <w:autoSpaceDE w:val="0"/>
        <w:autoSpaceDN w:val="0"/>
        <w:adjustRightInd w:val="0"/>
        <w:jc w:val="center"/>
        <w:rPr>
          <w:rFonts w:ascii="Arial-BoldMT" w:hAnsi="Arial-BoldMT" w:cs="Arial-BoldMT"/>
          <w:b/>
          <w:bCs/>
          <w:color w:val="FF0000"/>
          <w:szCs w:val="24"/>
        </w:rPr>
      </w:pPr>
    </w:p>
    <w:p w:rsidR="00CF1D42" w:rsidRDefault="00897DBF" w:rsidP="00CF1D42">
      <w:pPr>
        <w:autoSpaceDE w:val="0"/>
        <w:autoSpaceDN w:val="0"/>
        <w:adjustRightInd w:val="0"/>
        <w:rPr>
          <w:rFonts w:ascii="Arial-BoldMT" w:hAnsi="Arial-BoldMT" w:cs="Arial-BoldMT"/>
          <w:b/>
          <w:bCs/>
          <w:color w:val="FF0000"/>
          <w:szCs w:val="24"/>
        </w:rPr>
      </w:pPr>
      <w:r>
        <w:rPr>
          <w:rFonts w:ascii="Arial-BoldMT" w:hAnsi="Arial-BoldMT" w:cs="Arial-BoldMT"/>
          <w:b/>
          <w:bCs/>
          <w:noProof/>
          <w:color w:val="FF0000"/>
          <w:szCs w:val="24"/>
        </w:rPr>
        <w:drawing>
          <wp:inline distT="0" distB="0" distL="0" distR="0">
            <wp:extent cx="6419850" cy="5514975"/>
            <wp:effectExtent l="19050" t="0" r="19050" b="0"/>
            <wp:docPr id="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70114" w:rsidRPr="00670114">
        <w:rPr>
          <w:rFonts w:ascii="Arial-BoldMT" w:hAnsi="Arial-BoldMT" w:cs="Arial-BoldMT"/>
          <w:b/>
          <w:bCs/>
          <w:color w:val="FF0000"/>
          <w:szCs w:val="24"/>
          <w:highlight w:val="yellow"/>
        </w:rPr>
        <w:t xml:space="preserve"> </w:t>
      </w:r>
    </w:p>
    <w:p w:rsidR="006826E5" w:rsidRDefault="006826E5" w:rsidP="005D2A19">
      <w:pPr>
        <w:autoSpaceDE w:val="0"/>
        <w:autoSpaceDN w:val="0"/>
        <w:adjustRightInd w:val="0"/>
        <w:rPr>
          <w:highlight w:val="yellow"/>
        </w:rPr>
      </w:pPr>
    </w:p>
    <w:p w:rsidR="006826E5" w:rsidRDefault="006826E5" w:rsidP="005D2A19">
      <w:pPr>
        <w:autoSpaceDE w:val="0"/>
        <w:autoSpaceDN w:val="0"/>
        <w:adjustRightInd w:val="0"/>
        <w:rPr>
          <w:highlight w:val="yellow"/>
        </w:rPr>
      </w:pPr>
    </w:p>
    <w:p w:rsidR="005D2A19" w:rsidRDefault="00670114" w:rsidP="005D2A19">
      <w:pPr>
        <w:autoSpaceDE w:val="0"/>
        <w:autoSpaceDN w:val="0"/>
        <w:adjustRightInd w:val="0"/>
        <w:rPr>
          <w:rFonts w:ascii="ArialMT" w:hAnsi="ArialMT" w:cs="ArialMT"/>
          <w:color w:val="FF0000"/>
          <w:szCs w:val="24"/>
        </w:rPr>
      </w:pPr>
      <w:r w:rsidRPr="00670114">
        <w:t xml:space="preserve">Since inception all managers </w:t>
      </w:r>
      <w:r w:rsidR="006826E5">
        <w:t xml:space="preserve">have performed </w:t>
      </w:r>
      <w:r w:rsidR="00D23415">
        <w:t xml:space="preserve">in line or in excess of </w:t>
      </w:r>
      <w:r w:rsidR="006826E5">
        <w:t>their benchmark.</w:t>
      </w:r>
    </w:p>
    <w:p w:rsidR="00F329FF" w:rsidRDefault="00F329FF" w:rsidP="00CF1D42">
      <w:pPr>
        <w:autoSpaceDE w:val="0"/>
        <w:autoSpaceDN w:val="0"/>
        <w:adjustRightInd w:val="0"/>
        <w:rPr>
          <w:rFonts w:ascii="Arial-BoldMT" w:hAnsi="Arial-BoldMT" w:cs="Arial-BoldMT"/>
          <w:b/>
          <w:bCs/>
          <w:color w:val="FF0000"/>
          <w:szCs w:val="24"/>
        </w:rPr>
      </w:pPr>
    </w:p>
    <w:p w:rsidR="00897DBF" w:rsidRDefault="009A269F">
      <w:pPr>
        <w:spacing w:line="276" w:lineRule="auto"/>
        <w:rPr>
          <w:rFonts w:ascii="ArialMT" w:hAnsi="ArialMT" w:cs="ArialMT"/>
          <w:noProof/>
          <w:szCs w:val="24"/>
        </w:rPr>
      </w:pPr>
      <w:r w:rsidRPr="009F575E">
        <w:rPr>
          <w:rFonts w:ascii="ArialMT" w:hAnsi="ArialMT" w:cs="ArialMT"/>
          <w:noProof/>
          <w:szCs w:val="24"/>
        </w:rPr>
        <w:t>Th</w:t>
      </w:r>
      <w:r>
        <w:rPr>
          <w:rFonts w:ascii="ArialMT" w:hAnsi="ArialMT" w:cs="ArialMT"/>
          <w:noProof/>
          <w:szCs w:val="24"/>
        </w:rPr>
        <w:t xml:space="preserve">is </w:t>
      </w:r>
      <w:r w:rsidRPr="009F575E">
        <w:rPr>
          <w:rFonts w:ascii="ArialMT" w:hAnsi="ArialMT" w:cs="ArialMT"/>
          <w:noProof/>
          <w:szCs w:val="24"/>
        </w:rPr>
        <w:t xml:space="preserve">move towards lower volatility asset classes </w:t>
      </w:r>
      <w:r>
        <w:rPr>
          <w:rFonts w:ascii="ArialMT" w:hAnsi="ArialMT" w:cs="ArialMT"/>
          <w:noProof/>
          <w:szCs w:val="24"/>
        </w:rPr>
        <w:t xml:space="preserve">has resulted in </w:t>
      </w:r>
      <w:r w:rsidRPr="009F575E">
        <w:rPr>
          <w:rFonts w:ascii="ArialMT" w:hAnsi="ArialMT" w:cs="ArialMT"/>
          <w:noProof/>
          <w:szCs w:val="24"/>
        </w:rPr>
        <w:t>equities accounting for 58% of the Fund at 31 March 2013, compared with 77% three years ago. In the same period, lower volatility assets have increased from 16% to 33%. Against target allocations, equities however remain towards the top of their respective target (40%-60%), property remains just below the bottom of its target range (10%-20%), and lower volatility assets are mid-range (20%-40%).</w:t>
      </w:r>
    </w:p>
    <w:p w:rsidR="00897DBF" w:rsidRDefault="00897DBF">
      <w:pPr>
        <w:jc w:val="center"/>
        <w:rPr>
          <w:b/>
          <w:sz w:val="28"/>
          <w:szCs w:val="28"/>
          <w:highlight w:val="yellow"/>
        </w:rPr>
      </w:pPr>
    </w:p>
    <w:p w:rsidR="00FA3AD8" w:rsidRDefault="00FA3AD8" w:rsidP="00EB4217">
      <w:pPr>
        <w:autoSpaceDE w:val="0"/>
        <w:autoSpaceDN w:val="0"/>
        <w:adjustRightInd w:val="0"/>
        <w:rPr>
          <w:rFonts w:ascii="ArialMT" w:hAnsi="ArialMT" w:cs="ArialMT"/>
        </w:rPr>
      </w:pPr>
    </w:p>
    <w:p w:rsidR="00FA3AD8" w:rsidRDefault="00FA3AD8" w:rsidP="00EB4217">
      <w:pPr>
        <w:autoSpaceDE w:val="0"/>
        <w:autoSpaceDN w:val="0"/>
        <w:adjustRightInd w:val="0"/>
        <w:rPr>
          <w:rFonts w:ascii="ArialMT" w:hAnsi="ArialMT" w:cs="ArialMT"/>
        </w:rPr>
      </w:pPr>
    </w:p>
    <w:p w:rsidR="00EB4217" w:rsidRPr="0043789A" w:rsidRDefault="00897DBF" w:rsidP="00EB4217">
      <w:pPr>
        <w:autoSpaceDE w:val="0"/>
        <w:autoSpaceDN w:val="0"/>
        <w:adjustRightInd w:val="0"/>
        <w:rPr>
          <w:rFonts w:ascii="ArialMT" w:hAnsi="ArialMT" w:cs="ArialMT"/>
          <w:szCs w:val="24"/>
          <w:highlight w:val="yellow"/>
        </w:rPr>
      </w:pPr>
      <w:r>
        <w:rPr>
          <w:rFonts w:ascii="ArialMT" w:hAnsi="ArialMT" w:cs="ArialMT"/>
          <w:noProof/>
        </w:rPr>
        <w:lastRenderedPageBreak/>
        <w:drawing>
          <wp:anchor distT="0" distB="0" distL="114300" distR="114300" simplePos="0" relativeHeight="251678720" behindDoc="1" locked="0" layoutInCell="1" allowOverlap="1">
            <wp:simplePos x="0" y="0"/>
            <wp:positionH relativeFrom="column">
              <wp:posOffset>21590</wp:posOffset>
            </wp:positionH>
            <wp:positionV relativeFrom="paragraph">
              <wp:posOffset>36195</wp:posOffset>
            </wp:positionV>
            <wp:extent cx="5857875" cy="4962525"/>
            <wp:effectExtent l="19050" t="0" r="9525" b="0"/>
            <wp:wrapTight wrapText="bothSides">
              <wp:wrapPolygon edited="0">
                <wp:start x="-70" y="0"/>
                <wp:lineTo x="-70" y="21559"/>
                <wp:lineTo x="21635" y="21559"/>
                <wp:lineTo x="21635" y="0"/>
                <wp:lineTo x="-70" y="0"/>
              </wp:wrapPolygon>
            </wp:wrapTight>
            <wp:docPr id="5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C0414" w:rsidRPr="007C0414" w:rsidRDefault="007C0414" w:rsidP="007C0414">
      <w:pPr>
        <w:autoSpaceDE w:val="0"/>
        <w:autoSpaceDN w:val="0"/>
        <w:adjustRightInd w:val="0"/>
        <w:rPr>
          <w:rFonts w:ascii="Arial-BoldMT" w:hAnsi="Arial-BoldMT" w:cs="Arial-BoldMT"/>
          <w:b/>
          <w:bCs/>
          <w:szCs w:val="24"/>
          <w:highlight w:val="yellow"/>
        </w:rPr>
      </w:pPr>
    </w:p>
    <w:p w:rsidR="00480580" w:rsidRPr="0043789A" w:rsidRDefault="00480580" w:rsidP="00EB4217">
      <w:pPr>
        <w:autoSpaceDE w:val="0"/>
        <w:autoSpaceDN w:val="0"/>
        <w:adjustRightInd w:val="0"/>
        <w:rPr>
          <w:rFonts w:ascii="Arial-BoldMT" w:hAnsi="Arial-BoldMT" w:cs="Arial-BoldMT"/>
          <w:b/>
          <w:bCs/>
          <w:szCs w:val="24"/>
          <w:highlight w:val="yellow"/>
        </w:rPr>
      </w:pPr>
    </w:p>
    <w:p w:rsidR="0097045C" w:rsidRPr="0043789A" w:rsidRDefault="007C0414" w:rsidP="00EB4217">
      <w:pPr>
        <w:autoSpaceDE w:val="0"/>
        <w:autoSpaceDN w:val="0"/>
        <w:adjustRightInd w:val="0"/>
        <w:rPr>
          <w:rFonts w:ascii="ArialMT" w:hAnsi="ArialMT" w:cs="ArialMT"/>
          <w:szCs w:val="24"/>
          <w:highlight w:val="yellow"/>
        </w:rPr>
      </w:pPr>
      <w:r w:rsidRPr="007C0414">
        <w:rPr>
          <w:noProof/>
        </w:rPr>
        <w:t xml:space="preserve"> </w:t>
      </w:r>
    </w:p>
    <w:p w:rsidR="00EB4217" w:rsidRPr="00B07458" w:rsidRDefault="00EB4217" w:rsidP="00EB4217">
      <w:pPr>
        <w:autoSpaceDE w:val="0"/>
        <w:autoSpaceDN w:val="0"/>
        <w:adjustRightInd w:val="0"/>
        <w:rPr>
          <w:szCs w:val="24"/>
          <w:highlight w:val="yellow"/>
        </w:rPr>
      </w:pPr>
    </w:p>
    <w:p w:rsidR="00154DD3" w:rsidRPr="00B07458" w:rsidRDefault="00154DD3" w:rsidP="00EB4217">
      <w:pPr>
        <w:autoSpaceDE w:val="0"/>
        <w:autoSpaceDN w:val="0"/>
        <w:adjustRightInd w:val="0"/>
        <w:rPr>
          <w:rFonts w:ascii="ArialMT" w:hAnsi="ArialMT" w:cs="ArialMT"/>
          <w:szCs w:val="24"/>
          <w:highlight w:val="yellow"/>
        </w:rPr>
      </w:pPr>
    </w:p>
    <w:p w:rsidR="00EE6902" w:rsidRPr="003A51FC" w:rsidRDefault="00EE6902" w:rsidP="00EB4217">
      <w:pPr>
        <w:autoSpaceDE w:val="0"/>
        <w:autoSpaceDN w:val="0"/>
        <w:adjustRightInd w:val="0"/>
        <w:rPr>
          <w:rFonts w:ascii="ArialMT" w:hAnsi="ArialMT" w:cs="ArialMT"/>
          <w:noProof/>
          <w:szCs w:val="24"/>
          <w:highlight w:val="yellow"/>
        </w:rPr>
      </w:pPr>
    </w:p>
    <w:p w:rsidR="00F678C9" w:rsidRDefault="00F678C9" w:rsidP="00EB4217">
      <w:pPr>
        <w:autoSpaceDE w:val="0"/>
        <w:autoSpaceDN w:val="0"/>
        <w:adjustRightInd w:val="0"/>
        <w:rPr>
          <w:rFonts w:ascii="ArialMT" w:hAnsi="ArialMT" w:cs="ArialMT"/>
          <w:noProof/>
          <w:szCs w:val="24"/>
          <w:highlight w:val="yellow"/>
        </w:rPr>
      </w:pPr>
    </w:p>
    <w:p w:rsidR="003A51FC" w:rsidRDefault="003A51FC" w:rsidP="00EB4217">
      <w:pPr>
        <w:autoSpaceDE w:val="0"/>
        <w:autoSpaceDN w:val="0"/>
        <w:adjustRightInd w:val="0"/>
        <w:rPr>
          <w:rFonts w:ascii="ArialMT" w:hAnsi="ArialMT" w:cs="ArialMT"/>
          <w:noProof/>
          <w:szCs w:val="24"/>
          <w:highlight w:val="yellow"/>
        </w:rPr>
      </w:pPr>
    </w:p>
    <w:p w:rsidR="00DD6DDA" w:rsidRDefault="00DD6DDA" w:rsidP="009A269F">
      <w:pPr>
        <w:spacing w:after="200" w:line="276" w:lineRule="auto"/>
        <w:rPr>
          <w:rFonts w:ascii="ArialMT" w:hAnsi="ArialMT" w:cs="ArialMT"/>
          <w:noProof/>
          <w:szCs w:val="24"/>
        </w:rPr>
      </w:pPr>
    </w:p>
    <w:p w:rsidR="00DD6DDA" w:rsidRDefault="00DD6DDA" w:rsidP="009A269F">
      <w:pPr>
        <w:spacing w:after="200" w:line="276" w:lineRule="auto"/>
        <w:rPr>
          <w:rFonts w:ascii="ArialMT" w:hAnsi="ArialMT" w:cs="ArialMT"/>
          <w:noProof/>
          <w:szCs w:val="24"/>
        </w:rPr>
      </w:pPr>
    </w:p>
    <w:p w:rsidR="00921A4F" w:rsidRDefault="00921A4F">
      <w:pPr>
        <w:spacing w:after="200" w:line="276" w:lineRule="auto"/>
        <w:rPr>
          <w:rFonts w:ascii="ArialMT" w:hAnsi="ArialMT" w:cs="ArialMT"/>
          <w:noProof/>
          <w:szCs w:val="24"/>
        </w:rPr>
      </w:pPr>
    </w:p>
    <w:p w:rsidR="00DD6DDA" w:rsidRDefault="00DD6DDA" w:rsidP="009A269F">
      <w:pPr>
        <w:spacing w:after="200" w:line="276" w:lineRule="auto"/>
        <w:rPr>
          <w:rFonts w:ascii="ArialMT" w:hAnsi="ArialMT" w:cs="ArialMT"/>
          <w:noProof/>
          <w:szCs w:val="24"/>
        </w:rPr>
      </w:pPr>
    </w:p>
    <w:p w:rsidR="00DD6DDA" w:rsidRDefault="00DD6DDA" w:rsidP="009A269F">
      <w:pPr>
        <w:spacing w:after="200" w:line="276" w:lineRule="auto"/>
        <w:rPr>
          <w:rFonts w:ascii="ArialMT" w:hAnsi="ArialMT" w:cs="ArialMT"/>
          <w:noProof/>
          <w:szCs w:val="24"/>
        </w:rPr>
      </w:pPr>
    </w:p>
    <w:p w:rsidR="00DD6DDA" w:rsidRDefault="00DD6DDA" w:rsidP="009A269F">
      <w:pPr>
        <w:spacing w:after="200" w:line="276" w:lineRule="auto"/>
        <w:rPr>
          <w:rFonts w:ascii="ArialMT" w:hAnsi="ArialMT" w:cs="ArialMT"/>
          <w:noProof/>
          <w:szCs w:val="24"/>
        </w:rPr>
      </w:pPr>
    </w:p>
    <w:p w:rsidR="00CF1D42" w:rsidRPr="00B07458" w:rsidRDefault="001C31F0" w:rsidP="00CF1D42">
      <w:pPr>
        <w:autoSpaceDE w:val="0"/>
        <w:autoSpaceDN w:val="0"/>
        <w:adjustRightInd w:val="0"/>
        <w:rPr>
          <w:rFonts w:ascii="ArialMT" w:hAnsi="ArialMT" w:cs="ArialMT"/>
          <w:noProof/>
          <w:szCs w:val="24"/>
          <w:highlight w:val="yellow"/>
        </w:rPr>
      </w:pPr>
      <w:r w:rsidRPr="001C31F0">
        <w:rPr>
          <w:rFonts w:ascii="ArialMT" w:hAnsi="ArialMT" w:cs="ArialMT"/>
          <w:noProof/>
          <w:szCs w:val="24"/>
          <w:highlight w:val="yellow"/>
        </w:rPr>
        <w:pict>
          <v:shapetype id="_x0000_t202" coordsize="21600,21600" o:spt="202" path="m,l,21600r21600,l21600,xe">
            <v:stroke joinstyle="miter"/>
            <v:path gradientshapeok="t" o:connecttype="rect"/>
          </v:shapetype>
          <v:shape id="_x0000_s1397" type="#_x0000_t202" style="position:absolute;margin-left:352.05pt;margin-top:29.25pt;width:3.55pt;height:3.55pt;z-index:251677696" stroked="f">
            <v:textbox style="mso-next-textbox:#_x0000_s1397">
              <w:txbxContent>
                <w:p w:rsidR="00897DBF" w:rsidRPr="0003312C" w:rsidRDefault="00897DBF" w:rsidP="00CF1D42">
                  <w:pPr>
                    <w:rPr>
                      <w:b/>
                      <w:sz w:val="20"/>
                    </w:rPr>
                  </w:pPr>
                  <w:r w:rsidRPr="0003312C">
                    <w:rPr>
                      <w:b/>
                      <w:sz w:val="20"/>
                    </w:rPr>
                    <w:t>n/a</w:t>
                  </w:r>
                </w:p>
              </w:txbxContent>
            </v:textbox>
          </v:shape>
        </w:pict>
      </w:r>
    </w:p>
    <w:p w:rsidR="00CF1D42" w:rsidRDefault="00CF1D42" w:rsidP="00CF1D42">
      <w:pPr>
        <w:autoSpaceDE w:val="0"/>
        <w:autoSpaceDN w:val="0"/>
        <w:adjustRightInd w:val="0"/>
        <w:rPr>
          <w:rFonts w:ascii="ArialMT" w:hAnsi="ArialMT" w:cs="ArialMT"/>
          <w:noProof/>
          <w:szCs w:val="24"/>
          <w:highlight w:val="yellow"/>
        </w:rPr>
      </w:pPr>
    </w:p>
    <w:p w:rsidR="00DD6DDA" w:rsidRDefault="00DD6DDA" w:rsidP="009A269F">
      <w:pPr>
        <w:autoSpaceDE w:val="0"/>
        <w:autoSpaceDN w:val="0"/>
        <w:adjustRightInd w:val="0"/>
        <w:rPr>
          <w:rFonts w:ascii="ArialMT" w:hAnsi="ArialMT" w:cs="ArialMT"/>
          <w:noProof/>
          <w:szCs w:val="24"/>
        </w:rPr>
      </w:pPr>
    </w:p>
    <w:p w:rsidR="00DD6DDA" w:rsidRDefault="00DD6DDA" w:rsidP="009A269F">
      <w:pPr>
        <w:autoSpaceDE w:val="0"/>
        <w:autoSpaceDN w:val="0"/>
        <w:adjustRightInd w:val="0"/>
        <w:rPr>
          <w:rFonts w:ascii="ArialMT" w:hAnsi="ArialMT" w:cs="ArialMT"/>
          <w:noProof/>
          <w:szCs w:val="24"/>
        </w:rPr>
      </w:pPr>
    </w:p>
    <w:p w:rsidR="00DD6DDA" w:rsidRDefault="00DD6DDA" w:rsidP="009A269F">
      <w:pPr>
        <w:autoSpaceDE w:val="0"/>
        <w:autoSpaceDN w:val="0"/>
        <w:adjustRightInd w:val="0"/>
        <w:rPr>
          <w:rFonts w:ascii="ArialMT" w:hAnsi="ArialMT" w:cs="ArialMT"/>
          <w:noProof/>
          <w:szCs w:val="24"/>
        </w:rPr>
      </w:pPr>
    </w:p>
    <w:p w:rsidR="00DD6DDA" w:rsidRDefault="00DD6DDA" w:rsidP="009A269F">
      <w:pPr>
        <w:autoSpaceDE w:val="0"/>
        <w:autoSpaceDN w:val="0"/>
        <w:adjustRightInd w:val="0"/>
        <w:rPr>
          <w:rFonts w:ascii="ArialMT" w:hAnsi="ArialMT" w:cs="ArialMT"/>
          <w:noProof/>
          <w:szCs w:val="24"/>
        </w:rPr>
      </w:pPr>
    </w:p>
    <w:p w:rsidR="00DD6DDA" w:rsidRDefault="00DD6DDA" w:rsidP="009A269F">
      <w:pPr>
        <w:autoSpaceDE w:val="0"/>
        <w:autoSpaceDN w:val="0"/>
        <w:adjustRightInd w:val="0"/>
        <w:rPr>
          <w:rFonts w:ascii="ArialMT" w:hAnsi="ArialMT" w:cs="ArialMT"/>
          <w:noProof/>
          <w:szCs w:val="24"/>
        </w:rPr>
      </w:pPr>
    </w:p>
    <w:p w:rsidR="00FA3AD8" w:rsidRDefault="00FA3AD8" w:rsidP="00FA3AD8">
      <w:pPr>
        <w:autoSpaceDE w:val="0"/>
        <w:autoSpaceDN w:val="0"/>
        <w:adjustRightInd w:val="0"/>
        <w:rPr>
          <w:rFonts w:ascii="Arial-BoldMT" w:hAnsi="Arial-BoldMT" w:cs="Arial-BoldMT"/>
          <w:b/>
          <w:bCs/>
        </w:rPr>
      </w:pPr>
    </w:p>
    <w:p w:rsidR="00FA3AD8" w:rsidRDefault="00FA3AD8" w:rsidP="00FA3AD8">
      <w:pPr>
        <w:autoSpaceDE w:val="0"/>
        <w:autoSpaceDN w:val="0"/>
        <w:adjustRightInd w:val="0"/>
        <w:rPr>
          <w:rFonts w:ascii="Arial-BoldMT" w:hAnsi="Arial-BoldMT" w:cs="Arial-BoldMT"/>
          <w:b/>
          <w:bCs/>
        </w:rPr>
      </w:pPr>
    </w:p>
    <w:p w:rsidR="00FA3AD8" w:rsidRDefault="00FA3AD8" w:rsidP="00FA3AD8">
      <w:pPr>
        <w:autoSpaceDE w:val="0"/>
        <w:autoSpaceDN w:val="0"/>
        <w:adjustRightInd w:val="0"/>
        <w:rPr>
          <w:rFonts w:ascii="Arial-BoldMT" w:hAnsi="Arial-BoldMT" w:cs="Arial-BoldMT"/>
          <w:b/>
          <w:bCs/>
        </w:rPr>
      </w:pPr>
    </w:p>
    <w:p w:rsidR="00FA3AD8" w:rsidRPr="009F575E" w:rsidRDefault="00FA3AD8" w:rsidP="00FA3AD8">
      <w:pPr>
        <w:autoSpaceDE w:val="0"/>
        <w:autoSpaceDN w:val="0"/>
        <w:adjustRightInd w:val="0"/>
        <w:rPr>
          <w:rFonts w:ascii="Arial-BoldMT" w:hAnsi="Arial-BoldMT" w:cs="Arial-BoldMT"/>
          <w:b/>
          <w:bCs/>
        </w:rPr>
      </w:pPr>
      <w:r w:rsidRPr="009F575E">
        <w:rPr>
          <w:rFonts w:ascii="Arial-BoldMT" w:hAnsi="Arial-BoldMT" w:cs="Arial-BoldMT"/>
          <w:b/>
          <w:bCs/>
        </w:rPr>
        <w:t>Asset allocations</w:t>
      </w:r>
    </w:p>
    <w:p w:rsidR="00FA3AD8" w:rsidRDefault="00FA3AD8" w:rsidP="00FA3AD8">
      <w:pPr>
        <w:autoSpaceDE w:val="0"/>
        <w:autoSpaceDN w:val="0"/>
        <w:adjustRightInd w:val="0"/>
        <w:rPr>
          <w:rFonts w:ascii="ArialMT" w:hAnsi="ArialMT" w:cs="ArialMT"/>
          <w:noProof/>
          <w:szCs w:val="24"/>
        </w:rPr>
      </w:pPr>
    </w:p>
    <w:p w:rsidR="00FA3AD8" w:rsidRPr="00EC5708" w:rsidRDefault="00FA3AD8" w:rsidP="00FA3AD8">
      <w:pPr>
        <w:autoSpaceDE w:val="0"/>
        <w:autoSpaceDN w:val="0"/>
        <w:adjustRightInd w:val="0"/>
        <w:spacing w:line="276" w:lineRule="auto"/>
        <w:rPr>
          <w:rFonts w:ascii="ArialMT" w:hAnsi="ArialMT" w:cs="ArialMT"/>
          <w:noProof/>
          <w:szCs w:val="24"/>
        </w:rPr>
      </w:pPr>
      <w:r w:rsidRPr="00EC5708">
        <w:rPr>
          <w:rFonts w:ascii="ArialMT" w:hAnsi="ArialMT" w:cs="ArialMT"/>
          <w:noProof/>
          <w:szCs w:val="24"/>
        </w:rPr>
        <w:t>The Fund is continuing to implement its revised investment strategy agreed in 2010, in actively bringing asset allocations up to the agreed benchmarks, in order to reduce the reliance on more volatile assets such as equities, in favour of less volatile asset classes such as infrastructure, senior secured loans, and emerging market debt funds.</w:t>
      </w: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FA3AD8" w:rsidRDefault="00FA3AD8" w:rsidP="00DD6DDA">
      <w:pPr>
        <w:spacing w:after="200" w:line="276" w:lineRule="auto"/>
        <w:rPr>
          <w:rFonts w:ascii="ArialMT" w:hAnsi="ArialMT" w:cs="ArialMT"/>
          <w:noProof/>
          <w:szCs w:val="24"/>
        </w:rPr>
      </w:pPr>
    </w:p>
    <w:p w:rsidR="00030FED" w:rsidRDefault="00030FED" w:rsidP="00DD6DDA">
      <w:pPr>
        <w:spacing w:after="200" w:line="276" w:lineRule="auto"/>
        <w:rPr>
          <w:rFonts w:ascii="ArialMT" w:hAnsi="ArialMT" w:cs="ArialMT"/>
          <w:noProof/>
          <w:szCs w:val="24"/>
        </w:rPr>
      </w:pPr>
    </w:p>
    <w:p w:rsidR="00DD6DDA" w:rsidRPr="00693AC2" w:rsidRDefault="00DD6DDA" w:rsidP="00DD6DDA">
      <w:pPr>
        <w:spacing w:after="200" w:line="276" w:lineRule="auto"/>
        <w:rPr>
          <w:rFonts w:ascii="ArialMT" w:hAnsi="ArialMT" w:cs="ArialMT"/>
          <w:noProof/>
          <w:szCs w:val="24"/>
        </w:rPr>
      </w:pPr>
      <w:r w:rsidRPr="00693AC2">
        <w:rPr>
          <w:rFonts w:ascii="ArialMT" w:hAnsi="ArialMT" w:cs="ArialMT"/>
          <w:noProof/>
          <w:szCs w:val="24"/>
        </w:rPr>
        <w:lastRenderedPageBreak/>
        <w:t>Detailed asset class allocations, and a comparison with the previous year is shown below:</w:t>
      </w:r>
    </w:p>
    <w:p w:rsidR="003A51FC" w:rsidRDefault="003A51FC" w:rsidP="00EB4217">
      <w:pPr>
        <w:autoSpaceDE w:val="0"/>
        <w:autoSpaceDN w:val="0"/>
        <w:adjustRightInd w:val="0"/>
        <w:rPr>
          <w:rFonts w:ascii="ArialMT" w:hAnsi="ArialMT" w:cs="ArialMT"/>
          <w:noProof/>
          <w:szCs w:val="24"/>
          <w:highlight w:val="yellow"/>
        </w:rPr>
      </w:pPr>
    </w:p>
    <w:p w:rsidR="003A51FC" w:rsidRDefault="00780D75" w:rsidP="00EB4217">
      <w:pPr>
        <w:autoSpaceDE w:val="0"/>
        <w:autoSpaceDN w:val="0"/>
        <w:adjustRightInd w:val="0"/>
        <w:rPr>
          <w:rFonts w:ascii="ArialMT" w:hAnsi="ArialMT" w:cs="ArialMT"/>
          <w:noProof/>
          <w:szCs w:val="24"/>
          <w:highlight w:val="yellow"/>
        </w:rPr>
      </w:pPr>
      <w:r w:rsidRPr="00780D75">
        <w:rPr>
          <w:noProof/>
        </w:rPr>
        <w:t xml:space="preserve"> </w:t>
      </w:r>
      <w:r w:rsidR="00897DBF">
        <w:rPr>
          <w:noProof/>
        </w:rPr>
        <w:drawing>
          <wp:inline distT="0" distB="0" distL="0" distR="0">
            <wp:extent cx="6267450" cy="3352800"/>
            <wp:effectExtent l="19050" t="0" r="19050" b="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14C2" w:rsidRDefault="008914C2" w:rsidP="00EB4217">
      <w:pPr>
        <w:autoSpaceDE w:val="0"/>
        <w:autoSpaceDN w:val="0"/>
        <w:adjustRightInd w:val="0"/>
        <w:rPr>
          <w:rFonts w:ascii="ArialMT" w:hAnsi="ArialMT" w:cs="ArialMT"/>
          <w:noProof/>
          <w:szCs w:val="24"/>
          <w:highlight w:val="yellow"/>
        </w:rPr>
      </w:pPr>
    </w:p>
    <w:p w:rsidR="001D4D59" w:rsidRDefault="001D4D59" w:rsidP="00EB4217">
      <w:pPr>
        <w:autoSpaceDE w:val="0"/>
        <w:autoSpaceDN w:val="0"/>
        <w:adjustRightInd w:val="0"/>
        <w:rPr>
          <w:rFonts w:ascii="ArialMT" w:hAnsi="ArialMT" w:cs="ArialMT"/>
          <w:noProof/>
          <w:szCs w:val="24"/>
          <w:highlight w:val="yellow"/>
        </w:rPr>
      </w:pPr>
    </w:p>
    <w:p w:rsidR="001D4D59" w:rsidRDefault="00897DBF" w:rsidP="00EB4217">
      <w:pPr>
        <w:autoSpaceDE w:val="0"/>
        <w:autoSpaceDN w:val="0"/>
        <w:adjustRightInd w:val="0"/>
        <w:rPr>
          <w:rFonts w:ascii="ArialMT" w:hAnsi="ArialMT" w:cs="ArialMT"/>
          <w:noProof/>
          <w:szCs w:val="24"/>
          <w:highlight w:val="yellow"/>
        </w:rPr>
      </w:pPr>
      <w:r>
        <w:rPr>
          <w:rFonts w:ascii="ArialMT" w:hAnsi="ArialMT" w:cs="ArialMT"/>
          <w:noProof/>
          <w:szCs w:val="24"/>
        </w:rPr>
        <w:drawing>
          <wp:inline distT="0" distB="0" distL="0" distR="0">
            <wp:extent cx="6305550" cy="3514725"/>
            <wp:effectExtent l="19050" t="0" r="19050" b="0"/>
            <wp:docPr id="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14C2" w:rsidRDefault="008914C2" w:rsidP="00EB4217">
      <w:pPr>
        <w:autoSpaceDE w:val="0"/>
        <w:autoSpaceDN w:val="0"/>
        <w:adjustRightInd w:val="0"/>
        <w:rPr>
          <w:rFonts w:ascii="ArialMT" w:hAnsi="ArialMT" w:cs="ArialMT"/>
          <w:noProof/>
          <w:szCs w:val="24"/>
          <w:highlight w:val="yellow"/>
        </w:rPr>
      </w:pPr>
    </w:p>
    <w:p w:rsidR="008914C2" w:rsidRDefault="008914C2" w:rsidP="00EB4217">
      <w:pPr>
        <w:autoSpaceDE w:val="0"/>
        <w:autoSpaceDN w:val="0"/>
        <w:adjustRightInd w:val="0"/>
        <w:rPr>
          <w:rFonts w:ascii="ArialMT" w:hAnsi="ArialMT" w:cs="ArialMT"/>
          <w:noProof/>
          <w:szCs w:val="24"/>
          <w:highlight w:val="yellow"/>
        </w:rPr>
      </w:pPr>
    </w:p>
    <w:p w:rsidR="00AA237B" w:rsidRDefault="00AA237B" w:rsidP="00DD6DDA">
      <w:pPr>
        <w:autoSpaceDE w:val="0"/>
        <w:autoSpaceDN w:val="0"/>
        <w:adjustRightInd w:val="0"/>
        <w:rPr>
          <w:rFonts w:ascii="ArialMT" w:hAnsi="ArialMT" w:cs="ArialMT"/>
          <w:noProof/>
          <w:szCs w:val="24"/>
        </w:rPr>
      </w:pPr>
    </w:p>
    <w:p w:rsidR="00030FED" w:rsidRDefault="00030FED" w:rsidP="00DD6DDA">
      <w:pPr>
        <w:autoSpaceDE w:val="0"/>
        <w:autoSpaceDN w:val="0"/>
        <w:adjustRightInd w:val="0"/>
        <w:rPr>
          <w:rFonts w:ascii="ArialMT" w:hAnsi="ArialMT" w:cs="ArialMT"/>
          <w:noProof/>
          <w:szCs w:val="24"/>
        </w:rPr>
      </w:pPr>
    </w:p>
    <w:p w:rsidR="00030FED" w:rsidRDefault="00030FED" w:rsidP="00DD6DDA">
      <w:pPr>
        <w:autoSpaceDE w:val="0"/>
        <w:autoSpaceDN w:val="0"/>
        <w:adjustRightInd w:val="0"/>
        <w:rPr>
          <w:rFonts w:ascii="ArialMT" w:hAnsi="ArialMT" w:cs="ArialMT"/>
          <w:noProof/>
          <w:szCs w:val="24"/>
        </w:rPr>
      </w:pPr>
    </w:p>
    <w:p w:rsidR="00030FED" w:rsidRDefault="00030FED" w:rsidP="00DD6DDA">
      <w:pPr>
        <w:autoSpaceDE w:val="0"/>
        <w:autoSpaceDN w:val="0"/>
        <w:adjustRightInd w:val="0"/>
        <w:rPr>
          <w:rFonts w:ascii="ArialMT" w:hAnsi="ArialMT" w:cs="ArialMT"/>
          <w:noProof/>
          <w:szCs w:val="24"/>
        </w:rPr>
      </w:pPr>
    </w:p>
    <w:p w:rsidR="00DD6DDA" w:rsidRPr="004D4C11" w:rsidRDefault="00DD6DDA" w:rsidP="00DD6DDA">
      <w:pPr>
        <w:autoSpaceDE w:val="0"/>
        <w:autoSpaceDN w:val="0"/>
        <w:adjustRightInd w:val="0"/>
        <w:rPr>
          <w:rFonts w:ascii="ArialMT" w:hAnsi="ArialMT" w:cs="ArialMT"/>
          <w:noProof/>
          <w:szCs w:val="24"/>
        </w:rPr>
      </w:pPr>
      <w:r w:rsidRPr="004D4C11">
        <w:rPr>
          <w:rFonts w:ascii="ArialMT" w:hAnsi="ArialMT" w:cs="ArialMT"/>
          <w:noProof/>
          <w:szCs w:val="24"/>
        </w:rPr>
        <w:lastRenderedPageBreak/>
        <w:t xml:space="preserve">While paid up investments in infrastructure funds represent </w:t>
      </w:r>
      <w:r w:rsidR="00030FED">
        <w:rPr>
          <w:rFonts w:ascii="ArialMT" w:hAnsi="ArialMT" w:cs="ArialMT"/>
          <w:noProof/>
          <w:szCs w:val="24"/>
        </w:rPr>
        <w:t>4</w:t>
      </w:r>
      <w:r w:rsidRPr="004D4C11">
        <w:rPr>
          <w:rFonts w:ascii="ArialMT" w:hAnsi="ArialMT" w:cs="ArialMT"/>
          <w:noProof/>
          <w:szCs w:val="24"/>
        </w:rPr>
        <w:t>% of the value of the Fund, the Fund also has unpaid commitments to infrastructure funds equivalent to</w:t>
      </w:r>
      <w:r w:rsidRPr="00134FD2">
        <w:rPr>
          <w:rFonts w:ascii="ArialMT" w:hAnsi="ArialMT" w:cs="ArialMT"/>
          <w:noProof/>
          <w:color w:val="FF0000"/>
          <w:szCs w:val="24"/>
        </w:rPr>
        <w:t xml:space="preserve"> </w:t>
      </w:r>
      <w:r w:rsidRPr="0020096F">
        <w:rPr>
          <w:rFonts w:ascii="ArialMT" w:hAnsi="ArialMT" w:cs="ArialMT"/>
          <w:noProof/>
          <w:szCs w:val="24"/>
        </w:rPr>
        <w:t>3.8%</w:t>
      </w:r>
      <w:r w:rsidRPr="00134FD2">
        <w:rPr>
          <w:rFonts w:ascii="ArialMT" w:hAnsi="ArialMT" w:cs="ArialMT"/>
          <w:noProof/>
          <w:color w:val="FF0000"/>
          <w:szCs w:val="24"/>
        </w:rPr>
        <w:t xml:space="preserve"> </w:t>
      </w:r>
      <w:r w:rsidRPr="004D4C11">
        <w:rPr>
          <w:rFonts w:ascii="ArialMT" w:hAnsi="ArialMT" w:cs="ArialMT"/>
          <w:noProof/>
          <w:szCs w:val="24"/>
        </w:rPr>
        <w:t>of the value of the Fund at 31</w:t>
      </w:r>
      <w:r>
        <w:rPr>
          <w:rFonts w:ascii="ArialMT" w:hAnsi="ArialMT" w:cs="ArialMT"/>
          <w:noProof/>
          <w:szCs w:val="24"/>
        </w:rPr>
        <w:t xml:space="preserve"> </w:t>
      </w:r>
      <w:r w:rsidRPr="004D4C11">
        <w:rPr>
          <w:rFonts w:ascii="ArialMT" w:hAnsi="ArialMT" w:cs="ArialMT"/>
          <w:noProof/>
          <w:szCs w:val="24"/>
        </w:rPr>
        <w:t>March 201</w:t>
      </w:r>
      <w:r>
        <w:rPr>
          <w:rFonts w:ascii="ArialMT" w:hAnsi="ArialMT" w:cs="ArialMT"/>
          <w:noProof/>
          <w:szCs w:val="24"/>
        </w:rPr>
        <w:t>3</w:t>
      </w:r>
      <w:r w:rsidRPr="004D4C11">
        <w:rPr>
          <w:rFonts w:ascii="ArialMT" w:hAnsi="ArialMT" w:cs="ArialMT"/>
          <w:noProof/>
          <w:szCs w:val="24"/>
        </w:rPr>
        <w:t xml:space="preserve">. </w:t>
      </w:r>
    </w:p>
    <w:p w:rsidR="00DD6DDA" w:rsidRPr="004D4C11" w:rsidRDefault="00DD6DDA" w:rsidP="00DD6DDA">
      <w:pPr>
        <w:autoSpaceDE w:val="0"/>
        <w:autoSpaceDN w:val="0"/>
        <w:adjustRightInd w:val="0"/>
        <w:rPr>
          <w:rFonts w:ascii="ArialMT" w:hAnsi="ArialMT" w:cs="ArialMT"/>
          <w:noProof/>
          <w:szCs w:val="24"/>
        </w:rPr>
      </w:pPr>
    </w:p>
    <w:p w:rsidR="00DD6DDA" w:rsidRPr="004D4C11" w:rsidRDefault="00AA237B" w:rsidP="00DD6DDA">
      <w:pPr>
        <w:autoSpaceDE w:val="0"/>
        <w:autoSpaceDN w:val="0"/>
        <w:adjustRightInd w:val="0"/>
        <w:rPr>
          <w:rFonts w:ascii="ArialMT" w:hAnsi="ArialMT" w:cs="ArialMT"/>
          <w:noProof/>
          <w:szCs w:val="24"/>
        </w:rPr>
      </w:pPr>
      <w:r>
        <w:rPr>
          <w:rFonts w:ascii="ArialMT" w:hAnsi="ArialMT" w:cs="ArialMT"/>
          <w:noProof/>
          <w:szCs w:val="24"/>
        </w:rPr>
        <w:t>S</w:t>
      </w:r>
      <w:r w:rsidR="00DD6DDA" w:rsidRPr="004D4C11">
        <w:rPr>
          <w:rFonts w:ascii="ArialMT" w:hAnsi="ArialMT" w:cs="ArialMT"/>
          <w:noProof/>
          <w:szCs w:val="24"/>
        </w:rPr>
        <w:t xml:space="preserve">imilarly, unpaid private equity commitments at 31 March 2013 are </w:t>
      </w:r>
      <w:r w:rsidR="00DD6DDA" w:rsidRPr="0020096F">
        <w:rPr>
          <w:rFonts w:ascii="ArialMT" w:hAnsi="ArialMT" w:cs="ArialMT"/>
          <w:noProof/>
          <w:szCs w:val="24"/>
        </w:rPr>
        <w:t>£137m,</w:t>
      </w:r>
      <w:r w:rsidR="00DD6DDA" w:rsidRPr="004D4C11">
        <w:rPr>
          <w:rFonts w:ascii="ArialMT" w:hAnsi="ArialMT" w:cs="ArialMT"/>
          <w:noProof/>
          <w:szCs w:val="24"/>
        </w:rPr>
        <w:t xml:space="preserve"> comprising </w:t>
      </w:r>
      <w:r w:rsidR="00DD6DDA" w:rsidRPr="0020096F">
        <w:rPr>
          <w:rFonts w:ascii="ArialMT" w:hAnsi="ArialMT" w:cs="ArialMT"/>
          <w:noProof/>
          <w:szCs w:val="24"/>
        </w:rPr>
        <w:t>2.7%</w:t>
      </w:r>
      <w:r w:rsidR="00DD6DDA" w:rsidRPr="004D4C11">
        <w:rPr>
          <w:rFonts w:ascii="ArialMT" w:hAnsi="ArialMT" w:cs="ArialMT"/>
          <w:noProof/>
          <w:szCs w:val="24"/>
        </w:rPr>
        <w:t xml:space="preserve"> of The Fund in addition to the paid up investments representing </w:t>
      </w:r>
      <w:r w:rsidR="00DD6DDA" w:rsidRPr="004E41CC">
        <w:rPr>
          <w:rFonts w:ascii="ArialMT" w:hAnsi="ArialMT" w:cs="ArialMT"/>
          <w:noProof/>
          <w:szCs w:val="24"/>
        </w:rPr>
        <w:t xml:space="preserve">5.6% </w:t>
      </w:r>
      <w:r w:rsidR="00DD6DDA" w:rsidRPr="004D4C11">
        <w:rPr>
          <w:rFonts w:ascii="ArialMT" w:hAnsi="ArialMT" w:cs="ArialMT"/>
          <w:noProof/>
          <w:szCs w:val="24"/>
        </w:rPr>
        <w:t>of the Fund.</w:t>
      </w:r>
    </w:p>
    <w:p w:rsidR="003A51FC" w:rsidRDefault="003A51FC" w:rsidP="00EB4217">
      <w:pPr>
        <w:autoSpaceDE w:val="0"/>
        <w:autoSpaceDN w:val="0"/>
        <w:adjustRightInd w:val="0"/>
        <w:rPr>
          <w:rFonts w:ascii="ArialMT" w:hAnsi="ArialMT" w:cs="ArialMT"/>
          <w:noProof/>
          <w:szCs w:val="24"/>
          <w:highlight w:val="yellow"/>
        </w:rPr>
      </w:pPr>
    </w:p>
    <w:p w:rsidR="001D4D59" w:rsidRDefault="001D4D59" w:rsidP="007F29FB">
      <w:pPr>
        <w:autoSpaceDE w:val="0"/>
        <w:autoSpaceDN w:val="0"/>
        <w:adjustRightInd w:val="0"/>
        <w:rPr>
          <w:rFonts w:ascii="ArialMT" w:hAnsi="ArialMT" w:cs="ArialMT"/>
          <w:noProof/>
          <w:szCs w:val="24"/>
        </w:rPr>
      </w:pPr>
    </w:p>
    <w:p w:rsidR="001D4D59" w:rsidRDefault="001D4D59" w:rsidP="007F29FB">
      <w:pPr>
        <w:autoSpaceDE w:val="0"/>
        <w:autoSpaceDN w:val="0"/>
        <w:adjustRightInd w:val="0"/>
        <w:rPr>
          <w:rFonts w:ascii="ArialMT" w:hAnsi="ArialMT" w:cs="ArialMT"/>
          <w:noProof/>
          <w:szCs w:val="24"/>
        </w:rPr>
      </w:pPr>
    </w:p>
    <w:p w:rsidR="00DD6DDA" w:rsidRDefault="002E4BCB" w:rsidP="00EB4217">
      <w:pPr>
        <w:autoSpaceDE w:val="0"/>
        <w:autoSpaceDN w:val="0"/>
        <w:adjustRightInd w:val="0"/>
        <w:rPr>
          <w:rFonts w:ascii="ArialMT" w:hAnsi="ArialMT" w:cs="ArialMT"/>
          <w:noProof/>
          <w:szCs w:val="24"/>
          <w:highlight w:val="yellow"/>
        </w:rPr>
      </w:pPr>
      <w:r>
        <w:rPr>
          <w:rFonts w:ascii="ArialMT" w:hAnsi="ArialMT" w:cs="ArialMT"/>
          <w:noProof/>
          <w:szCs w:val="24"/>
        </w:rPr>
        <w:t>T</w:t>
      </w:r>
      <w:r w:rsidR="007F29FB" w:rsidRPr="00C3734A">
        <w:rPr>
          <w:rFonts w:ascii="ArialMT" w:hAnsi="ArialMT" w:cs="ArialMT"/>
          <w:noProof/>
          <w:szCs w:val="24"/>
        </w:rPr>
        <w:t>he largest individual direct investments of the Fund are disclo</w:t>
      </w:r>
      <w:r w:rsidR="007F29FB">
        <w:rPr>
          <w:rFonts w:ascii="ArialMT" w:hAnsi="ArialMT" w:cs="ArialMT"/>
          <w:noProof/>
          <w:szCs w:val="24"/>
        </w:rPr>
        <w:t>sed in the following paragraphs:</w:t>
      </w:r>
    </w:p>
    <w:p w:rsidR="000D5991" w:rsidRPr="009C5108" w:rsidRDefault="000D5991" w:rsidP="00EB4217">
      <w:pPr>
        <w:autoSpaceDE w:val="0"/>
        <w:autoSpaceDN w:val="0"/>
        <w:adjustRightInd w:val="0"/>
        <w:rPr>
          <w:rFonts w:ascii="ArialMT" w:hAnsi="ArialMT" w:cs="ArialMT"/>
          <w:noProof/>
          <w:szCs w:val="24"/>
        </w:rPr>
      </w:pPr>
    </w:p>
    <w:p w:rsidR="00030FED" w:rsidRDefault="00030FED" w:rsidP="00EB4217">
      <w:pPr>
        <w:autoSpaceDE w:val="0"/>
        <w:autoSpaceDN w:val="0"/>
        <w:adjustRightInd w:val="0"/>
        <w:rPr>
          <w:rFonts w:ascii="ArialMT" w:hAnsi="ArialMT" w:cs="ArialMT"/>
          <w:noProof/>
          <w:szCs w:val="24"/>
        </w:rPr>
      </w:pPr>
    </w:p>
    <w:p w:rsidR="00456AFD" w:rsidRDefault="00670114" w:rsidP="00EB4217">
      <w:pPr>
        <w:autoSpaceDE w:val="0"/>
        <w:autoSpaceDN w:val="0"/>
        <w:adjustRightInd w:val="0"/>
        <w:rPr>
          <w:rFonts w:ascii="ArialMT" w:hAnsi="ArialMT" w:cs="ArialMT"/>
          <w:noProof/>
          <w:szCs w:val="24"/>
        </w:rPr>
      </w:pPr>
      <w:r w:rsidRPr="00670114">
        <w:rPr>
          <w:rFonts w:ascii="ArialMT" w:hAnsi="ArialMT" w:cs="ArialMT"/>
          <w:noProof/>
          <w:szCs w:val="24"/>
        </w:rPr>
        <w:t>The Largest ten equity holdings of the Fund at 31 March 201</w:t>
      </w:r>
      <w:r w:rsidR="009C5108">
        <w:rPr>
          <w:rFonts w:ascii="ArialMT" w:hAnsi="ArialMT" w:cs="ArialMT"/>
          <w:noProof/>
          <w:szCs w:val="24"/>
        </w:rPr>
        <w:t>3</w:t>
      </w:r>
      <w:r w:rsidRPr="00670114">
        <w:rPr>
          <w:rFonts w:ascii="ArialMT" w:hAnsi="ArialMT" w:cs="ArialMT"/>
          <w:noProof/>
          <w:szCs w:val="24"/>
        </w:rPr>
        <w:t xml:space="preserve"> were:</w:t>
      </w:r>
    </w:p>
    <w:p w:rsidR="00030FED" w:rsidRDefault="00030FED" w:rsidP="00EB4217">
      <w:pPr>
        <w:autoSpaceDE w:val="0"/>
        <w:autoSpaceDN w:val="0"/>
        <w:adjustRightInd w:val="0"/>
        <w:rPr>
          <w:rFonts w:ascii="ArialMT" w:hAnsi="ArialMT" w:cs="ArialMT"/>
          <w:noProof/>
          <w:szCs w:val="24"/>
        </w:rPr>
      </w:pPr>
    </w:p>
    <w:p w:rsidR="00030FED" w:rsidRDefault="00030FED" w:rsidP="00EB4217">
      <w:pPr>
        <w:autoSpaceDE w:val="0"/>
        <w:autoSpaceDN w:val="0"/>
        <w:adjustRightInd w:val="0"/>
        <w:rPr>
          <w:rFonts w:ascii="ArialMT" w:hAnsi="ArialMT" w:cs="ArialMT"/>
          <w:noProof/>
          <w:szCs w:val="24"/>
        </w:rPr>
      </w:pPr>
    </w:p>
    <w:p w:rsidR="00456AFD" w:rsidRPr="003A51FC" w:rsidRDefault="00456AFD" w:rsidP="00EB4217">
      <w:pPr>
        <w:autoSpaceDE w:val="0"/>
        <w:autoSpaceDN w:val="0"/>
        <w:adjustRightInd w:val="0"/>
        <w:rPr>
          <w:rFonts w:ascii="ArialMT" w:hAnsi="ArialMT" w:cs="ArialMT"/>
          <w:noProof/>
          <w:szCs w:val="24"/>
          <w:highlight w:val="yellow"/>
        </w:rPr>
      </w:pPr>
    </w:p>
    <w:tbl>
      <w:tblPr>
        <w:tblW w:w="0" w:type="auto"/>
        <w:tblLook w:val="04A0"/>
      </w:tblPr>
      <w:tblGrid>
        <w:gridCol w:w="534"/>
        <w:gridCol w:w="5244"/>
        <w:gridCol w:w="1985"/>
        <w:gridCol w:w="1843"/>
      </w:tblGrid>
      <w:tr w:rsidR="00456AFD" w:rsidRPr="003A51FC" w:rsidTr="00060342">
        <w:tc>
          <w:tcPr>
            <w:tcW w:w="534" w:type="dxa"/>
          </w:tcPr>
          <w:p w:rsidR="00456AFD" w:rsidRPr="003A51FC" w:rsidRDefault="00456AFD" w:rsidP="00456AFD">
            <w:pPr>
              <w:rPr>
                <w:b/>
                <w:snapToGrid w:val="0"/>
                <w:sz w:val="22"/>
                <w:szCs w:val="22"/>
                <w:highlight w:val="yellow"/>
                <w:lang w:eastAsia="en-US"/>
              </w:rPr>
            </w:pPr>
          </w:p>
        </w:tc>
        <w:tc>
          <w:tcPr>
            <w:tcW w:w="5244" w:type="dxa"/>
            <w:vAlign w:val="center"/>
          </w:tcPr>
          <w:p w:rsidR="00456AFD" w:rsidRPr="009C5108" w:rsidRDefault="00670114" w:rsidP="00456AFD">
            <w:pPr>
              <w:rPr>
                <w:b/>
                <w:sz w:val="28"/>
                <w:szCs w:val="28"/>
              </w:rPr>
            </w:pPr>
            <w:r w:rsidRPr="00670114">
              <w:rPr>
                <w:b/>
                <w:snapToGrid w:val="0"/>
                <w:sz w:val="22"/>
                <w:szCs w:val="22"/>
                <w:lang w:eastAsia="en-US"/>
              </w:rPr>
              <w:t>Equity</w:t>
            </w:r>
          </w:p>
        </w:tc>
        <w:tc>
          <w:tcPr>
            <w:tcW w:w="1985" w:type="dxa"/>
            <w:vAlign w:val="center"/>
          </w:tcPr>
          <w:p w:rsidR="00456AFD" w:rsidRPr="009C5108" w:rsidRDefault="00670114" w:rsidP="00F570B3">
            <w:pPr>
              <w:jc w:val="center"/>
              <w:rPr>
                <w:b/>
                <w:snapToGrid w:val="0"/>
                <w:sz w:val="22"/>
                <w:szCs w:val="22"/>
                <w:lang w:eastAsia="en-US"/>
              </w:rPr>
            </w:pPr>
            <w:r w:rsidRPr="00670114">
              <w:rPr>
                <w:b/>
                <w:snapToGrid w:val="0"/>
                <w:sz w:val="22"/>
                <w:szCs w:val="22"/>
                <w:lang w:eastAsia="en-US"/>
              </w:rPr>
              <w:t>Market value</w:t>
            </w:r>
          </w:p>
          <w:p w:rsidR="00FE43E9" w:rsidRDefault="00670114">
            <w:pPr>
              <w:jc w:val="center"/>
              <w:rPr>
                <w:b/>
                <w:snapToGrid w:val="0"/>
                <w:sz w:val="22"/>
                <w:szCs w:val="22"/>
                <w:lang w:eastAsia="en-US"/>
              </w:rPr>
            </w:pPr>
            <w:r w:rsidRPr="00670114">
              <w:rPr>
                <w:b/>
                <w:snapToGrid w:val="0"/>
                <w:sz w:val="22"/>
                <w:szCs w:val="22"/>
                <w:lang w:eastAsia="en-US"/>
              </w:rPr>
              <w:t>31 March 2013</w:t>
            </w:r>
          </w:p>
          <w:p w:rsidR="00456AFD" w:rsidRPr="009C5108" w:rsidRDefault="00670114" w:rsidP="0043789A">
            <w:pPr>
              <w:jc w:val="center"/>
              <w:rPr>
                <w:b/>
                <w:sz w:val="28"/>
                <w:szCs w:val="28"/>
              </w:rPr>
            </w:pPr>
            <w:r w:rsidRPr="00670114">
              <w:rPr>
                <w:b/>
                <w:snapToGrid w:val="0"/>
                <w:sz w:val="22"/>
                <w:szCs w:val="22"/>
                <w:lang w:eastAsia="en-US"/>
              </w:rPr>
              <w:t>£m</w:t>
            </w:r>
          </w:p>
        </w:tc>
        <w:tc>
          <w:tcPr>
            <w:tcW w:w="1843" w:type="dxa"/>
            <w:vAlign w:val="center"/>
          </w:tcPr>
          <w:p w:rsidR="00456AFD" w:rsidRPr="009C5108" w:rsidRDefault="00670114" w:rsidP="00BA02D9">
            <w:pPr>
              <w:jc w:val="center"/>
              <w:rPr>
                <w:b/>
                <w:sz w:val="28"/>
                <w:szCs w:val="28"/>
              </w:rPr>
            </w:pPr>
            <w:r w:rsidRPr="00670114">
              <w:rPr>
                <w:b/>
                <w:snapToGrid w:val="0"/>
                <w:sz w:val="22"/>
                <w:szCs w:val="22"/>
                <w:lang w:eastAsia="en-US"/>
              </w:rPr>
              <w:t>Percentage of net assets of the Fund %</w:t>
            </w:r>
          </w:p>
        </w:tc>
      </w:tr>
      <w:tr w:rsidR="00F570B3" w:rsidRPr="003A51FC" w:rsidTr="007F29FB">
        <w:trPr>
          <w:trHeight w:val="397"/>
        </w:trPr>
        <w:tc>
          <w:tcPr>
            <w:tcW w:w="534" w:type="dxa"/>
          </w:tcPr>
          <w:p w:rsidR="00F570B3" w:rsidRPr="003A51FC" w:rsidRDefault="00F570B3" w:rsidP="00456AFD">
            <w:pPr>
              <w:rPr>
                <w:snapToGrid w:val="0"/>
                <w:sz w:val="22"/>
                <w:szCs w:val="22"/>
                <w:highlight w:val="yellow"/>
                <w:lang w:eastAsia="en-US"/>
              </w:rPr>
            </w:pPr>
          </w:p>
        </w:tc>
        <w:tc>
          <w:tcPr>
            <w:tcW w:w="5244" w:type="dxa"/>
            <w:vAlign w:val="center"/>
          </w:tcPr>
          <w:p w:rsidR="00FE43E9" w:rsidRDefault="00670114">
            <w:pPr>
              <w:rPr>
                <w:b/>
                <w:sz w:val="28"/>
                <w:szCs w:val="28"/>
              </w:rPr>
            </w:pPr>
            <w:r w:rsidRPr="00670114">
              <w:rPr>
                <w:rFonts w:cs="Arial"/>
              </w:rPr>
              <w:t xml:space="preserve">Nestle SA </w:t>
            </w:r>
            <w:proofErr w:type="spellStart"/>
            <w:r w:rsidRPr="00670114">
              <w:rPr>
                <w:rFonts w:cs="Arial"/>
              </w:rPr>
              <w:t>CHF0.10</w:t>
            </w:r>
            <w:proofErr w:type="spellEnd"/>
            <w:r w:rsidR="009C5108">
              <w:rPr>
                <w:rFonts w:cs="Arial"/>
              </w:rPr>
              <w:t xml:space="preserve"> </w:t>
            </w:r>
            <w:r w:rsidRPr="00670114">
              <w:rPr>
                <w:rFonts w:cs="Arial"/>
              </w:rPr>
              <w:t>(</w:t>
            </w:r>
            <w:proofErr w:type="spellStart"/>
            <w:r w:rsidRPr="00670114">
              <w:rPr>
                <w:rFonts w:cs="Arial"/>
              </w:rPr>
              <w:t>Regd</w:t>
            </w:r>
            <w:proofErr w:type="spellEnd"/>
            <w:r w:rsidRPr="00670114">
              <w:rPr>
                <w:rFonts w:cs="Arial"/>
              </w:rPr>
              <w:t xml:space="preserve">)  </w:t>
            </w:r>
          </w:p>
        </w:tc>
        <w:tc>
          <w:tcPr>
            <w:tcW w:w="1985" w:type="dxa"/>
            <w:vAlign w:val="center"/>
          </w:tcPr>
          <w:p w:rsidR="00F570B3" w:rsidRPr="009C5108" w:rsidRDefault="00670114" w:rsidP="00BA02D9">
            <w:pPr>
              <w:jc w:val="center"/>
              <w:rPr>
                <w:snapToGrid w:val="0"/>
                <w:sz w:val="22"/>
                <w:szCs w:val="22"/>
                <w:lang w:eastAsia="en-US"/>
              </w:rPr>
            </w:pPr>
            <w:r w:rsidRPr="00670114">
              <w:rPr>
                <w:rFonts w:cs="Arial"/>
              </w:rPr>
              <w:t>54.5</w:t>
            </w:r>
          </w:p>
        </w:tc>
        <w:tc>
          <w:tcPr>
            <w:tcW w:w="1843" w:type="dxa"/>
            <w:vAlign w:val="center"/>
          </w:tcPr>
          <w:p w:rsidR="00F570B3" w:rsidRPr="009C5108" w:rsidRDefault="00670114" w:rsidP="003C64A3">
            <w:pPr>
              <w:jc w:val="center"/>
              <w:rPr>
                <w:b/>
                <w:sz w:val="28"/>
                <w:szCs w:val="28"/>
              </w:rPr>
            </w:pPr>
            <w:r w:rsidRPr="00670114">
              <w:rPr>
                <w:rFonts w:cs="Arial"/>
              </w:rPr>
              <w:t>1.09</w:t>
            </w:r>
          </w:p>
        </w:tc>
      </w:tr>
      <w:tr w:rsidR="0043789A" w:rsidRPr="003A51FC" w:rsidTr="007F29FB">
        <w:trPr>
          <w:trHeight w:val="397"/>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9C5108" w:rsidRDefault="00670114" w:rsidP="00970428">
            <w:pPr>
              <w:rPr>
                <w:rFonts w:cs="Arial"/>
              </w:rPr>
            </w:pPr>
            <w:r w:rsidRPr="00670114">
              <w:rPr>
                <w:rFonts w:cs="Arial"/>
              </w:rPr>
              <w:t xml:space="preserve">British American Tobacco </w:t>
            </w:r>
            <w:proofErr w:type="spellStart"/>
            <w:r w:rsidRPr="00670114">
              <w:rPr>
                <w:rFonts w:cs="Arial"/>
              </w:rPr>
              <w:t>Ord</w:t>
            </w:r>
            <w:proofErr w:type="spellEnd"/>
            <w:r w:rsidRPr="00670114">
              <w:rPr>
                <w:rFonts w:cs="Arial"/>
              </w:rPr>
              <w:t xml:space="preserve"> </w:t>
            </w:r>
            <w:proofErr w:type="spellStart"/>
            <w:r w:rsidRPr="00670114">
              <w:rPr>
                <w:rFonts w:cs="Arial"/>
              </w:rPr>
              <w:t>GBP0.25</w:t>
            </w:r>
            <w:proofErr w:type="spellEnd"/>
          </w:p>
        </w:tc>
        <w:tc>
          <w:tcPr>
            <w:tcW w:w="1985" w:type="dxa"/>
            <w:vAlign w:val="center"/>
          </w:tcPr>
          <w:p w:rsidR="0043789A" w:rsidRPr="009C5108" w:rsidRDefault="00670114" w:rsidP="00BA02D9">
            <w:pPr>
              <w:jc w:val="center"/>
              <w:rPr>
                <w:rFonts w:cs="Arial"/>
              </w:rPr>
            </w:pPr>
            <w:r w:rsidRPr="00670114">
              <w:rPr>
                <w:rFonts w:cs="Arial"/>
              </w:rPr>
              <w:t>33.8</w:t>
            </w:r>
          </w:p>
        </w:tc>
        <w:tc>
          <w:tcPr>
            <w:tcW w:w="1843" w:type="dxa"/>
            <w:vAlign w:val="center"/>
          </w:tcPr>
          <w:p w:rsidR="0043789A" w:rsidRPr="009C5108" w:rsidRDefault="00670114" w:rsidP="003C64A3">
            <w:pPr>
              <w:jc w:val="center"/>
              <w:rPr>
                <w:rFonts w:cs="Arial"/>
              </w:rPr>
            </w:pPr>
            <w:r w:rsidRPr="00670114">
              <w:rPr>
                <w:rFonts w:cs="Arial"/>
              </w:rPr>
              <w:t>0.68</w:t>
            </w:r>
          </w:p>
        </w:tc>
      </w:tr>
      <w:tr w:rsidR="0043789A" w:rsidRPr="003A51FC" w:rsidTr="007F29FB">
        <w:trPr>
          <w:trHeight w:val="397"/>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43789A" w:rsidRPr="008E1E86" w:rsidRDefault="00670114" w:rsidP="0043789A">
            <w:pPr>
              <w:rPr>
                <w:rFonts w:cs="Arial"/>
              </w:rPr>
            </w:pPr>
            <w:r w:rsidRPr="00670114">
              <w:rPr>
                <w:rFonts w:cs="Arial"/>
              </w:rPr>
              <w:t xml:space="preserve">Reckitt </w:t>
            </w:r>
            <w:proofErr w:type="spellStart"/>
            <w:r w:rsidRPr="00670114">
              <w:rPr>
                <w:rFonts w:cs="Arial"/>
              </w:rPr>
              <w:t>Benck</w:t>
            </w:r>
            <w:proofErr w:type="spellEnd"/>
            <w:r w:rsidRPr="00670114">
              <w:rPr>
                <w:rFonts w:cs="Arial"/>
              </w:rPr>
              <w:t xml:space="preserve"> </w:t>
            </w:r>
            <w:proofErr w:type="spellStart"/>
            <w:r w:rsidRPr="00670114">
              <w:rPr>
                <w:rFonts w:cs="Arial"/>
              </w:rPr>
              <w:t>Grp</w:t>
            </w:r>
            <w:proofErr w:type="spellEnd"/>
            <w:r w:rsidRPr="00670114">
              <w:rPr>
                <w:rFonts w:cs="Arial"/>
              </w:rPr>
              <w:t xml:space="preserve"> </w:t>
            </w:r>
            <w:proofErr w:type="spellStart"/>
            <w:r w:rsidRPr="00670114">
              <w:rPr>
                <w:rFonts w:cs="Arial"/>
              </w:rPr>
              <w:t>Ord</w:t>
            </w:r>
            <w:proofErr w:type="spellEnd"/>
            <w:r w:rsidRPr="00670114">
              <w:rPr>
                <w:rFonts w:cs="Arial"/>
              </w:rPr>
              <w:t xml:space="preserve"> </w:t>
            </w:r>
            <w:proofErr w:type="spellStart"/>
            <w:r w:rsidRPr="00670114">
              <w:rPr>
                <w:rFonts w:cs="Arial"/>
              </w:rPr>
              <w:t>GBP0.10</w:t>
            </w:r>
            <w:proofErr w:type="spellEnd"/>
          </w:p>
        </w:tc>
        <w:tc>
          <w:tcPr>
            <w:tcW w:w="1985" w:type="dxa"/>
            <w:vAlign w:val="center"/>
          </w:tcPr>
          <w:p w:rsidR="0043789A" w:rsidRPr="009C5108" w:rsidRDefault="00670114" w:rsidP="00BA02D9">
            <w:pPr>
              <w:jc w:val="center"/>
              <w:rPr>
                <w:rFonts w:cs="Arial"/>
              </w:rPr>
            </w:pPr>
            <w:r w:rsidRPr="00670114">
              <w:rPr>
                <w:rFonts w:cs="Arial"/>
              </w:rPr>
              <w:t>29.0</w:t>
            </w:r>
          </w:p>
        </w:tc>
        <w:tc>
          <w:tcPr>
            <w:tcW w:w="1843" w:type="dxa"/>
            <w:vAlign w:val="center"/>
          </w:tcPr>
          <w:p w:rsidR="0043789A" w:rsidRPr="009C5108" w:rsidRDefault="00670114" w:rsidP="003C64A3">
            <w:pPr>
              <w:jc w:val="center"/>
              <w:rPr>
                <w:rFonts w:cs="Arial"/>
              </w:rPr>
            </w:pPr>
            <w:r w:rsidRPr="00670114">
              <w:rPr>
                <w:rFonts w:cs="Arial"/>
              </w:rPr>
              <w:t>0.58</w:t>
            </w:r>
          </w:p>
        </w:tc>
      </w:tr>
      <w:tr w:rsidR="00F570B3" w:rsidRPr="003A51FC" w:rsidTr="007F29FB">
        <w:trPr>
          <w:trHeight w:val="397"/>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8E1E86" w:rsidRDefault="00670114" w:rsidP="00D10CFA">
            <w:pPr>
              <w:rPr>
                <w:rFonts w:cs="Arial"/>
              </w:rPr>
            </w:pPr>
            <w:r w:rsidRPr="00670114">
              <w:rPr>
                <w:rFonts w:cs="Arial"/>
              </w:rPr>
              <w:t>Visa Inc Com CL A STK</w:t>
            </w:r>
          </w:p>
        </w:tc>
        <w:tc>
          <w:tcPr>
            <w:tcW w:w="1985" w:type="dxa"/>
            <w:vAlign w:val="center"/>
          </w:tcPr>
          <w:p w:rsidR="00FE43E9" w:rsidRDefault="00670114">
            <w:pPr>
              <w:jc w:val="center"/>
              <w:rPr>
                <w:rFonts w:cs="Arial"/>
              </w:rPr>
            </w:pPr>
            <w:r w:rsidRPr="00670114">
              <w:rPr>
                <w:rFonts w:cs="Arial"/>
              </w:rPr>
              <w:t>27.</w:t>
            </w:r>
            <w:r w:rsidR="00F97DAC">
              <w:rPr>
                <w:rFonts w:cs="Arial"/>
              </w:rPr>
              <w:t>7</w:t>
            </w:r>
          </w:p>
        </w:tc>
        <w:tc>
          <w:tcPr>
            <w:tcW w:w="1843" w:type="dxa"/>
            <w:vAlign w:val="center"/>
          </w:tcPr>
          <w:p w:rsidR="00F570B3" w:rsidRPr="009C5108" w:rsidRDefault="00670114" w:rsidP="003C64A3">
            <w:pPr>
              <w:jc w:val="center"/>
              <w:rPr>
                <w:rFonts w:cs="Arial"/>
              </w:rPr>
            </w:pPr>
            <w:r w:rsidRPr="00670114">
              <w:rPr>
                <w:rFonts w:cs="Arial"/>
              </w:rPr>
              <w:t>0.55</w:t>
            </w:r>
          </w:p>
        </w:tc>
      </w:tr>
      <w:tr w:rsidR="00F570B3" w:rsidRPr="003A51FC" w:rsidTr="007F29FB">
        <w:trPr>
          <w:trHeight w:val="397"/>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8E1E86" w:rsidRDefault="00670114" w:rsidP="00F570B3">
            <w:pPr>
              <w:rPr>
                <w:rFonts w:cs="Arial"/>
              </w:rPr>
            </w:pPr>
            <w:r w:rsidRPr="00670114">
              <w:rPr>
                <w:rFonts w:cs="Arial"/>
              </w:rPr>
              <w:t>Omnicom Group Inc Com</w:t>
            </w:r>
          </w:p>
        </w:tc>
        <w:tc>
          <w:tcPr>
            <w:tcW w:w="1985" w:type="dxa"/>
            <w:vAlign w:val="center"/>
          </w:tcPr>
          <w:p w:rsidR="00F570B3" w:rsidRPr="009C5108" w:rsidRDefault="00670114" w:rsidP="00BA02D9">
            <w:pPr>
              <w:jc w:val="center"/>
              <w:rPr>
                <w:rFonts w:cs="Arial"/>
              </w:rPr>
            </w:pPr>
            <w:r w:rsidRPr="00670114">
              <w:rPr>
                <w:rFonts w:cs="Arial"/>
              </w:rPr>
              <w:t>24.8</w:t>
            </w:r>
          </w:p>
        </w:tc>
        <w:tc>
          <w:tcPr>
            <w:tcW w:w="1843" w:type="dxa"/>
            <w:vAlign w:val="center"/>
          </w:tcPr>
          <w:p w:rsidR="00F570B3" w:rsidRPr="009C5108" w:rsidRDefault="00670114" w:rsidP="003C64A3">
            <w:pPr>
              <w:jc w:val="center"/>
              <w:rPr>
                <w:rFonts w:cs="Arial"/>
              </w:rPr>
            </w:pPr>
            <w:r w:rsidRPr="00670114">
              <w:rPr>
                <w:rFonts w:cs="Arial"/>
              </w:rPr>
              <w:t>0.50</w:t>
            </w:r>
          </w:p>
        </w:tc>
      </w:tr>
      <w:tr w:rsidR="00F570B3" w:rsidRPr="003A51FC" w:rsidTr="007F29FB">
        <w:trPr>
          <w:trHeight w:val="397"/>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E43E9" w:rsidRPr="008E1E86" w:rsidRDefault="009C5108">
            <w:pPr>
              <w:rPr>
                <w:rFonts w:cs="Arial"/>
              </w:rPr>
            </w:pPr>
            <w:r w:rsidRPr="009C5108">
              <w:rPr>
                <w:rFonts w:cs="Arial"/>
              </w:rPr>
              <w:t>D</w:t>
            </w:r>
            <w:r>
              <w:rPr>
                <w:rFonts w:cs="Arial"/>
              </w:rPr>
              <w:t>iageo</w:t>
            </w:r>
            <w:r w:rsidRPr="009C5108">
              <w:rPr>
                <w:rFonts w:cs="Arial"/>
              </w:rPr>
              <w:t xml:space="preserve"> </w:t>
            </w:r>
            <w:proofErr w:type="spellStart"/>
            <w:r w:rsidRPr="009C5108">
              <w:rPr>
                <w:rFonts w:cs="Arial"/>
              </w:rPr>
              <w:t>O</w:t>
            </w:r>
            <w:r>
              <w:rPr>
                <w:rFonts w:cs="Arial"/>
              </w:rPr>
              <w:t>rd</w:t>
            </w:r>
            <w:proofErr w:type="spellEnd"/>
            <w:r w:rsidRPr="009C5108">
              <w:rPr>
                <w:rFonts w:cs="Arial"/>
              </w:rPr>
              <w:t xml:space="preserve"> P</w:t>
            </w:r>
            <w:r>
              <w:rPr>
                <w:rFonts w:cs="Arial"/>
              </w:rPr>
              <w:t>lc</w:t>
            </w:r>
          </w:p>
        </w:tc>
        <w:tc>
          <w:tcPr>
            <w:tcW w:w="1985" w:type="dxa"/>
            <w:vAlign w:val="center"/>
          </w:tcPr>
          <w:p w:rsidR="00F570B3" w:rsidRPr="009C5108" w:rsidRDefault="00670114" w:rsidP="00BA02D9">
            <w:pPr>
              <w:jc w:val="center"/>
              <w:rPr>
                <w:rFonts w:cs="Arial"/>
              </w:rPr>
            </w:pPr>
            <w:r w:rsidRPr="00670114">
              <w:rPr>
                <w:rFonts w:cs="Arial"/>
              </w:rPr>
              <w:t>24.4</w:t>
            </w:r>
          </w:p>
        </w:tc>
        <w:tc>
          <w:tcPr>
            <w:tcW w:w="1843" w:type="dxa"/>
            <w:vAlign w:val="center"/>
          </w:tcPr>
          <w:p w:rsidR="00F570B3" w:rsidRPr="009C5108" w:rsidRDefault="00670114" w:rsidP="003C64A3">
            <w:pPr>
              <w:jc w:val="center"/>
              <w:rPr>
                <w:rFonts w:cs="Arial"/>
              </w:rPr>
            </w:pPr>
            <w:r w:rsidRPr="00670114">
              <w:rPr>
                <w:rFonts w:cs="Arial"/>
              </w:rPr>
              <w:t>0.49</w:t>
            </w:r>
          </w:p>
        </w:tc>
      </w:tr>
      <w:tr w:rsidR="0043789A" w:rsidRPr="003A51FC" w:rsidTr="007F29FB">
        <w:trPr>
          <w:trHeight w:val="397"/>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FE43E9" w:rsidRPr="008E1E86" w:rsidRDefault="009C5108">
            <w:pPr>
              <w:rPr>
                <w:rFonts w:cs="Arial"/>
              </w:rPr>
            </w:pPr>
            <w:r>
              <w:rPr>
                <w:rFonts w:cs="Arial"/>
              </w:rPr>
              <w:t>Accenture</w:t>
            </w:r>
            <w:r w:rsidRPr="009C5108">
              <w:rPr>
                <w:rFonts w:cs="Arial"/>
              </w:rPr>
              <w:t xml:space="preserve"> P</w:t>
            </w:r>
            <w:r>
              <w:rPr>
                <w:rFonts w:cs="Arial"/>
              </w:rPr>
              <w:t xml:space="preserve">lc SHA CL  </w:t>
            </w:r>
            <w:r w:rsidR="00670114" w:rsidRPr="00670114">
              <w:rPr>
                <w:rFonts w:cs="Arial"/>
              </w:rPr>
              <w:t>A New</w:t>
            </w:r>
          </w:p>
        </w:tc>
        <w:tc>
          <w:tcPr>
            <w:tcW w:w="1985" w:type="dxa"/>
            <w:vAlign w:val="center"/>
          </w:tcPr>
          <w:p w:rsidR="0043789A" w:rsidRPr="009C5108" w:rsidRDefault="00670114" w:rsidP="00BA02D9">
            <w:pPr>
              <w:jc w:val="center"/>
              <w:rPr>
                <w:rFonts w:cs="Arial"/>
              </w:rPr>
            </w:pPr>
            <w:r w:rsidRPr="00670114">
              <w:rPr>
                <w:rFonts w:cs="Arial"/>
              </w:rPr>
              <w:t>23.4</w:t>
            </w:r>
          </w:p>
        </w:tc>
        <w:tc>
          <w:tcPr>
            <w:tcW w:w="1843" w:type="dxa"/>
            <w:vAlign w:val="center"/>
          </w:tcPr>
          <w:p w:rsidR="0043789A" w:rsidRPr="009C5108" w:rsidRDefault="00670114" w:rsidP="003C64A3">
            <w:pPr>
              <w:jc w:val="center"/>
              <w:rPr>
                <w:rFonts w:cs="Arial"/>
              </w:rPr>
            </w:pPr>
            <w:r w:rsidRPr="00670114">
              <w:rPr>
                <w:rFonts w:cs="Arial"/>
              </w:rPr>
              <w:t>0.47</w:t>
            </w:r>
          </w:p>
        </w:tc>
      </w:tr>
      <w:tr w:rsidR="0043789A" w:rsidRPr="003A51FC" w:rsidTr="007F29FB">
        <w:trPr>
          <w:trHeight w:val="397"/>
        </w:trPr>
        <w:tc>
          <w:tcPr>
            <w:tcW w:w="534" w:type="dxa"/>
          </w:tcPr>
          <w:p w:rsidR="0043789A" w:rsidRPr="00B07458" w:rsidRDefault="0043789A" w:rsidP="00456AFD">
            <w:pPr>
              <w:rPr>
                <w:snapToGrid w:val="0"/>
                <w:sz w:val="22"/>
                <w:szCs w:val="22"/>
                <w:highlight w:val="yellow"/>
                <w:lang w:eastAsia="en-US"/>
              </w:rPr>
            </w:pPr>
          </w:p>
        </w:tc>
        <w:tc>
          <w:tcPr>
            <w:tcW w:w="5244" w:type="dxa"/>
            <w:vAlign w:val="center"/>
          </w:tcPr>
          <w:p w:rsidR="00FE43E9" w:rsidRPr="008E1E86" w:rsidRDefault="009C5108">
            <w:pPr>
              <w:rPr>
                <w:rFonts w:cs="Arial"/>
              </w:rPr>
            </w:pPr>
            <w:r w:rsidRPr="009C5108">
              <w:rPr>
                <w:rFonts w:cs="Arial"/>
              </w:rPr>
              <w:t xml:space="preserve">CIE </w:t>
            </w:r>
            <w:proofErr w:type="spellStart"/>
            <w:r w:rsidRPr="009C5108">
              <w:rPr>
                <w:rFonts w:cs="Arial"/>
              </w:rPr>
              <w:t>F</w:t>
            </w:r>
            <w:r>
              <w:rPr>
                <w:rFonts w:cs="Arial"/>
              </w:rPr>
              <w:t>inancie</w:t>
            </w:r>
            <w:proofErr w:type="spellEnd"/>
            <w:r w:rsidRPr="009C5108">
              <w:rPr>
                <w:rFonts w:cs="Arial"/>
              </w:rPr>
              <w:t xml:space="preserve"> </w:t>
            </w:r>
            <w:proofErr w:type="spellStart"/>
            <w:r w:rsidRPr="009C5108">
              <w:rPr>
                <w:rFonts w:cs="Arial"/>
              </w:rPr>
              <w:t>R</w:t>
            </w:r>
            <w:r>
              <w:rPr>
                <w:rFonts w:cs="Arial"/>
              </w:rPr>
              <w:t>ichemont</w:t>
            </w:r>
            <w:proofErr w:type="spellEnd"/>
            <w:r w:rsidRPr="009C5108">
              <w:rPr>
                <w:rFonts w:cs="Arial"/>
              </w:rPr>
              <w:t xml:space="preserve"> </w:t>
            </w:r>
            <w:proofErr w:type="spellStart"/>
            <w:r w:rsidRPr="009C5108">
              <w:rPr>
                <w:rFonts w:cs="Arial"/>
              </w:rPr>
              <w:t>CHF</w:t>
            </w:r>
            <w:proofErr w:type="spellEnd"/>
          </w:p>
        </w:tc>
        <w:tc>
          <w:tcPr>
            <w:tcW w:w="1985" w:type="dxa"/>
            <w:vAlign w:val="center"/>
          </w:tcPr>
          <w:p w:rsidR="0043789A" w:rsidRPr="009C5108" w:rsidRDefault="00670114" w:rsidP="00BA02D9">
            <w:pPr>
              <w:jc w:val="center"/>
              <w:rPr>
                <w:rFonts w:cs="Arial"/>
              </w:rPr>
            </w:pPr>
            <w:r w:rsidRPr="00670114">
              <w:rPr>
                <w:rFonts w:cs="Arial"/>
              </w:rPr>
              <w:t>22.2</w:t>
            </w:r>
          </w:p>
        </w:tc>
        <w:tc>
          <w:tcPr>
            <w:tcW w:w="1843" w:type="dxa"/>
            <w:vAlign w:val="center"/>
          </w:tcPr>
          <w:p w:rsidR="0043789A" w:rsidRPr="009C5108" w:rsidRDefault="00670114" w:rsidP="003C64A3">
            <w:pPr>
              <w:jc w:val="center"/>
              <w:rPr>
                <w:rFonts w:cs="Arial"/>
              </w:rPr>
            </w:pPr>
            <w:r w:rsidRPr="00670114">
              <w:rPr>
                <w:rFonts w:cs="Arial"/>
              </w:rPr>
              <w:t>0.4</w:t>
            </w:r>
            <w:r w:rsidR="00F97DAC">
              <w:rPr>
                <w:rFonts w:cs="Arial"/>
              </w:rPr>
              <w:t>5</w:t>
            </w:r>
          </w:p>
        </w:tc>
      </w:tr>
      <w:tr w:rsidR="00F570B3" w:rsidRPr="003A51FC" w:rsidTr="007F29FB">
        <w:trPr>
          <w:trHeight w:val="397"/>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E43E9" w:rsidRPr="008E1E86" w:rsidRDefault="009C5108">
            <w:pPr>
              <w:rPr>
                <w:rFonts w:cs="Arial"/>
              </w:rPr>
            </w:pPr>
            <w:r w:rsidRPr="009C5108">
              <w:rPr>
                <w:rFonts w:cs="Arial"/>
              </w:rPr>
              <w:t>P</w:t>
            </w:r>
            <w:r>
              <w:rPr>
                <w:rFonts w:cs="Arial"/>
              </w:rPr>
              <w:t>hilip</w:t>
            </w:r>
            <w:r w:rsidRPr="009C5108">
              <w:rPr>
                <w:rFonts w:cs="Arial"/>
              </w:rPr>
              <w:t xml:space="preserve"> M</w:t>
            </w:r>
            <w:r>
              <w:rPr>
                <w:rFonts w:cs="Arial"/>
              </w:rPr>
              <w:t>orris</w:t>
            </w:r>
            <w:r w:rsidRPr="009C5108">
              <w:rPr>
                <w:rFonts w:cs="Arial"/>
              </w:rPr>
              <w:t xml:space="preserve"> I</w:t>
            </w:r>
            <w:r>
              <w:rPr>
                <w:rFonts w:cs="Arial"/>
              </w:rPr>
              <w:t>ntl</w:t>
            </w:r>
            <w:r w:rsidRPr="009C5108">
              <w:rPr>
                <w:rFonts w:cs="Arial"/>
              </w:rPr>
              <w:t xml:space="preserve"> C</w:t>
            </w:r>
            <w:r>
              <w:rPr>
                <w:rFonts w:cs="Arial"/>
              </w:rPr>
              <w:t>om</w:t>
            </w:r>
            <w:r w:rsidRPr="009C5108">
              <w:rPr>
                <w:rFonts w:cs="Arial"/>
              </w:rPr>
              <w:t xml:space="preserve"> </w:t>
            </w:r>
            <w:proofErr w:type="spellStart"/>
            <w:r w:rsidRPr="009C5108">
              <w:rPr>
                <w:rFonts w:cs="Arial"/>
              </w:rPr>
              <w:t>S</w:t>
            </w:r>
            <w:r>
              <w:rPr>
                <w:rFonts w:cs="Arial"/>
              </w:rPr>
              <w:t>tk</w:t>
            </w:r>
            <w:proofErr w:type="spellEnd"/>
            <w:r w:rsidRPr="009C5108">
              <w:rPr>
                <w:rFonts w:cs="Arial"/>
              </w:rPr>
              <w:t xml:space="preserve"> </w:t>
            </w:r>
            <w:proofErr w:type="spellStart"/>
            <w:r w:rsidRPr="009C5108">
              <w:rPr>
                <w:rFonts w:cs="Arial"/>
              </w:rPr>
              <w:t>NPV</w:t>
            </w:r>
            <w:proofErr w:type="spellEnd"/>
            <w:r w:rsidRPr="009C5108">
              <w:rPr>
                <w:rFonts w:cs="Arial"/>
              </w:rPr>
              <w:t xml:space="preserve"> </w:t>
            </w:r>
          </w:p>
        </w:tc>
        <w:tc>
          <w:tcPr>
            <w:tcW w:w="1985" w:type="dxa"/>
            <w:vAlign w:val="center"/>
          </w:tcPr>
          <w:p w:rsidR="00F570B3" w:rsidRPr="00F97DAC" w:rsidRDefault="00670114" w:rsidP="00BA02D9">
            <w:pPr>
              <w:jc w:val="center"/>
              <w:rPr>
                <w:rFonts w:cs="Arial"/>
              </w:rPr>
            </w:pPr>
            <w:r w:rsidRPr="00670114">
              <w:rPr>
                <w:rFonts w:cs="Arial"/>
              </w:rPr>
              <w:t>22.0</w:t>
            </w:r>
          </w:p>
        </w:tc>
        <w:tc>
          <w:tcPr>
            <w:tcW w:w="1843" w:type="dxa"/>
            <w:vAlign w:val="center"/>
          </w:tcPr>
          <w:p w:rsidR="00F570B3" w:rsidRPr="00F97DAC" w:rsidRDefault="00670114" w:rsidP="003C64A3">
            <w:pPr>
              <w:jc w:val="center"/>
              <w:rPr>
                <w:rFonts w:cs="Arial"/>
              </w:rPr>
            </w:pPr>
            <w:r w:rsidRPr="00670114">
              <w:rPr>
                <w:rFonts w:cs="Arial"/>
              </w:rPr>
              <w:t>0.44</w:t>
            </w:r>
          </w:p>
        </w:tc>
      </w:tr>
      <w:tr w:rsidR="00F570B3" w:rsidRPr="003A51FC" w:rsidTr="007F29FB">
        <w:trPr>
          <w:trHeight w:val="397"/>
        </w:trPr>
        <w:tc>
          <w:tcPr>
            <w:tcW w:w="534" w:type="dxa"/>
          </w:tcPr>
          <w:p w:rsidR="00F570B3" w:rsidRPr="00B07458" w:rsidRDefault="00F570B3" w:rsidP="00456AFD">
            <w:pPr>
              <w:rPr>
                <w:snapToGrid w:val="0"/>
                <w:sz w:val="22"/>
                <w:szCs w:val="22"/>
                <w:highlight w:val="yellow"/>
                <w:lang w:eastAsia="en-US"/>
              </w:rPr>
            </w:pPr>
          </w:p>
        </w:tc>
        <w:tc>
          <w:tcPr>
            <w:tcW w:w="5244" w:type="dxa"/>
            <w:vAlign w:val="center"/>
          </w:tcPr>
          <w:p w:rsidR="00F570B3" w:rsidRPr="008E1E86" w:rsidRDefault="00670114" w:rsidP="00F570B3">
            <w:pPr>
              <w:rPr>
                <w:rFonts w:cs="Arial"/>
              </w:rPr>
            </w:pPr>
            <w:proofErr w:type="spellStart"/>
            <w:r w:rsidRPr="00670114">
              <w:rPr>
                <w:rFonts w:cs="Arial"/>
              </w:rPr>
              <w:t>Mastercard</w:t>
            </w:r>
            <w:proofErr w:type="spellEnd"/>
            <w:r w:rsidRPr="00670114">
              <w:rPr>
                <w:rFonts w:cs="Arial"/>
              </w:rPr>
              <w:t xml:space="preserve"> Inc CL A</w:t>
            </w:r>
          </w:p>
        </w:tc>
        <w:tc>
          <w:tcPr>
            <w:tcW w:w="1985" w:type="dxa"/>
            <w:tcBorders>
              <w:bottom w:val="single" w:sz="4" w:space="0" w:color="auto"/>
            </w:tcBorders>
            <w:vAlign w:val="center"/>
          </w:tcPr>
          <w:p w:rsidR="00F570B3" w:rsidRPr="00F97DAC" w:rsidRDefault="00670114" w:rsidP="00BA02D9">
            <w:pPr>
              <w:jc w:val="center"/>
              <w:rPr>
                <w:rFonts w:cs="Arial"/>
              </w:rPr>
            </w:pPr>
            <w:r w:rsidRPr="00670114">
              <w:rPr>
                <w:rFonts w:cs="Arial"/>
              </w:rPr>
              <w:t>21.9</w:t>
            </w:r>
          </w:p>
        </w:tc>
        <w:tc>
          <w:tcPr>
            <w:tcW w:w="1843" w:type="dxa"/>
            <w:tcBorders>
              <w:bottom w:val="single" w:sz="4" w:space="0" w:color="auto"/>
            </w:tcBorders>
            <w:vAlign w:val="center"/>
          </w:tcPr>
          <w:p w:rsidR="00F570B3" w:rsidRPr="00F97DAC" w:rsidRDefault="00670114" w:rsidP="003C64A3">
            <w:pPr>
              <w:jc w:val="center"/>
              <w:rPr>
                <w:rFonts w:cs="Arial"/>
              </w:rPr>
            </w:pPr>
            <w:r w:rsidRPr="00670114">
              <w:rPr>
                <w:rFonts w:cs="Arial"/>
              </w:rPr>
              <w:t>0.44</w:t>
            </w:r>
          </w:p>
        </w:tc>
      </w:tr>
      <w:tr w:rsidR="00F570B3" w:rsidRPr="003A51FC" w:rsidTr="007F29FB">
        <w:trPr>
          <w:trHeight w:val="397"/>
        </w:trPr>
        <w:tc>
          <w:tcPr>
            <w:tcW w:w="534" w:type="dxa"/>
          </w:tcPr>
          <w:p w:rsidR="00F570B3" w:rsidRPr="00B07458" w:rsidRDefault="00F570B3" w:rsidP="00456AFD">
            <w:pPr>
              <w:rPr>
                <w:sz w:val="22"/>
                <w:szCs w:val="22"/>
                <w:highlight w:val="yellow"/>
              </w:rPr>
            </w:pPr>
          </w:p>
        </w:tc>
        <w:tc>
          <w:tcPr>
            <w:tcW w:w="5244" w:type="dxa"/>
            <w:vAlign w:val="center"/>
          </w:tcPr>
          <w:p w:rsidR="00F570B3" w:rsidRPr="003A51FC" w:rsidRDefault="00670114" w:rsidP="00F570B3">
            <w:pPr>
              <w:rPr>
                <w:b/>
                <w:sz w:val="28"/>
                <w:szCs w:val="28"/>
                <w:highlight w:val="yellow"/>
              </w:rPr>
            </w:pPr>
            <w:r w:rsidRPr="00670114">
              <w:rPr>
                <w:sz w:val="22"/>
                <w:szCs w:val="22"/>
              </w:rPr>
              <w:t>Total</w:t>
            </w:r>
          </w:p>
        </w:tc>
        <w:tc>
          <w:tcPr>
            <w:tcW w:w="1985" w:type="dxa"/>
            <w:tcBorders>
              <w:top w:val="single" w:sz="4" w:space="0" w:color="auto"/>
              <w:bottom w:val="single" w:sz="4" w:space="0" w:color="auto"/>
            </w:tcBorders>
            <w:vAlign w:val="center"/>
          </w:tcPr>
          <w:p w:rsidR="00F570B3" w:rsidRPr="009C5108" w:rsidRDefault="00670114" w:rsidP="008538AB">
            <w:pPr>
              <w:jc w:val="center"/>
              <w:rPr>
                <w:rFonts w:cs="Arial"/>
              </w:rPr>
            </w:pPr>
            <w:r w:rsidRPr="00670114">
              <w:rPr>
                <w:rFonts w:cs="Arial"/>
              </w:rPr>
              <w:t>283.7</w:t>
            </w:r>
          </w:p>
        </w:tc>
        <w:tc>
          <w:tcPr>
            <w:tcW w:w="1843" w:type="dxa"/>
            <w:tcBorders>
              <w:top w:val="single" w:sz="4" w:space="0" w:color="auto"/>
              <w:bottom w:val="single" w:sz="4" w:space="0" w:color="auto"/>
            </w:tcBorders>
            <w:vAlign w:val="center"/>
          </w:tcPr>
          <w:p w:rsidR="00F570B3" w:rsidRPr="009C5108" w:rsidRDefault="00670114" w:rsidP="00BA02D9">
            <w:pPr>
              <w:jc w:val="center"/>
              <w:rPr>
                <w:rFonts w:cs="Arial"/>
              </w:rPr>
            </w:pPr>
            <w:r w:rsidRPr="00670114">
              <w:rPr>
                <w:rFonts w:cs="Arial"/>
              </w:rPr>
              <w:t>5.69%</w:t>
            </w:r>
          </w:p>
        </w:tc>
      </w:tr>
    </w:tbl>
    <w:p w:rsidR="007F29FB" w:rsidRDefault="007F29FB"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highlight w:val="yellow"/>
        </w:rPr>
      </w:pPr>
    </w:p>
    <w:p w:rsidR="001D4D59" w:rsidRDefault="001D4D59" w:rsidP="00F570B3">
      <w:pPr>
        <w:autoSpaceDE w:val="0"/>
        <w:autoSpaceDN w:val="0"/>
        <w:adjustRightInd w:val="0"/>
        <w:rPr>
          <w:rFonts w:ascii="ArialMT" w:hAnsi="ArialMT" w:cs="ArialMT"/>
          <w:noProof/>
          <w:szCs w:val="24"/>
        </w:rPr>
      </w:pPr>
    </w:p>
    <w:p w:rsidR="00030FED" w:rsidRDefault="00670114" w:rsidP="00EB4217">
      <w:pPr>
        <w:autoSpaceDE w:val="0"/>
        <w:autoSpaceDN w:val="0"/>
        <w:adjustRightInd w:val="0"/>
        <w:rPr>
          <w:rFonts w:ascii="ArialMT" w:hAnsi="ArialMT" w:cs="ArialMT"/>
          <w:noProof/>
          <w:szCs w:val="24"/>
        </w:rPr>
      </w:pPr>
      <w:r w:rsidRPr="00670114">
        <w:rPr>
          <w:rFonts w:ascii="ArialMT" w:hAnsi="ArialMT" w:cs="ArialMT"/>
          <w:noProof/>
          <w:szCs w:val="24"/>
        </w:rPr>
        <w:t>The largest ten direct property holdings of the Fund at 31 March 2013 were:</w:t>
      </w:r>
    </w:p>
    <w:p w:rsidR="007F29FB" w:rsidRPr="00BB7961" w:rsidRDefault="007F29FB" w:rsidP="00F570B3">
      <w:pPr>
        <w:autoSpaceDE w:val="0"/>
        <w:autoSpaceDN w:val="0"/>
        <w:adjustRightInd w:val="0"/>
        <w:rPr>
          <w:rFonts w:ascii="ArialMT" w:hAnsi="ArialMT" w:cs="ArialMT"/>
          <w:noProof/>
          <w:szCs w:val="24"/>
        </w:rPr>
      </w:pPr>
    </w:p>
    <w:p w:rsidR="00F570B3" w:rsidRPr="00BB7961" w:rsidRDefault="00F570B3" w:rsidP="00EB4217">
      <w:pPr>
        <w:autoSpaceDE w:val="0"/>
        <w:autoSpaceDN w:val="0"/>
        <w:adjustRightInd w:val="0"/>
        <w:rPr>
          <w:rFonts w:ascii="ArialMT" w:hAnsi="ArialMT" w:cs="ArialMT"/>
          <w:szCs w:val="24"/>
        </w:rPr>
      </w:pPr>
    </w:p>
    <w:tbl>
      <w:tblPr>
        <w:tblW w:w="0" w:type="auto"/>
        <w:tblLook w:val="04A0"/>
      </w:tblPr>
      <w:tblGrid>
        <w:gridCol w:w="534"/>
        <w:gridCol w:w="4677"/>
        <w:gridCol w:w="2694"/>
        <w:gridCol w:w="1701"/>
      </w:tblGrid>
      <w:tr w:rsidR="00EB7754" w:rsidRPr="003A51FC" w:rsidTr="00EB7754">
        <w:tc>
          <w:tcPr>
            <w:tcW w:w="534" w:type="dxa"/>
          </w:tcPr>
          <w:p w:rsidR="00F570B3" w:rsidRPr="00BB7961" w:rsidRDefault="00F570B3" w:rsidP="00EB7754">
            <w:pPr>
              <w:rPr>
                <w:b/>
                <w:snapToGrid w:val="0"/>
                <w:szCs w:val="24"/>
                <w:lang w:eastAsia="en-US"/>
              </w:rPr>
            </w:pPr>
          </w:p>
        </w:tc>
        <w:tc>
          <w:tcPr>
            <w:tcW w:w="4677" w:type="dxa"/>
            <w:vAlign w:val="center"/>
          </w:tcPr>
          <w:p w:rsidR="00F570B3" w:rsidRPr="00BB7961" w:rsidRDefault="00670114" w:rsidP="00EB7754">
            <w:pPr>
              <w:rPr>
                <w:b/>
                <w:szCs w:val="24"/>
              </w:rPr>
            </w:pPr>
            <w:r w:rsidRPr="00670114">
              <w:rPr>
                <w:b/>
                <w:snapToGrid w:val="0"/>
                <w:szCs w:val="24"/>
                <w:lang w:eastAsia="en-US"/>
              </w:rPr>
              <w:t>Property</w:t>
            </w:r>
          </w:p>
        </w:tc>
        <w:tc>
          <w:tcPr>
            <w:tcW w:w="2694" w:type="dxa"/>
            <w:vAlign w:val="center"/>
          </w:tcPr>
          <w:p w:rsidR="00F570B3" w:rsidRPr="00BB7961" w:rsidRDefault="00670114" w:rsidP="00EB7754">
            <w:pPr>
              <w:jc w:val="center"/>
              <w:rPr>
                <w:b/>
                <w:szCs w:val="24"/>
              </w:rPr>
            </w:pPr>
            <w:r w:rsidRPr="00670114">
              <w:rPr>
                <w:b/>
                <w:snapToGrid w:val="0"/>
                <w:szCs w:val="24"/>
                <w:lang w:eastAsia="en-US"/>
              </w:rPr>
              <w:t>Sector</w:t>
            </w:r>
          </w:p>
        </w:tc>
        <w:tc>
          <w:tcPr>
            <w:tcW w:w="1701" w:type="dxa"/>
            <w:vAlign w:val="center"/>
          </w:tcPr>
          <w:p w:rsidR="00EB7754" w:rsidRPr="00BB7961" w:rsidRDefault="00670114" w:rsidP="00EB7754">
            <w:pPr>
              <w:jc w:val="center"/>
              <w:rPr>
                <w:b/>
                <w:snapToGrid w:val="0"/>
                <w:szCs w:val="24"/>
                <w:lang w:eastAsia="en-US"/>
              </w:rPr>
            </w:pPr>
            <w:r w:rsidRPr="00670114">
              <w:rPr>
                <w:b/>
                <w:snapToGrid w:val="0"/>
                <w:szCs w:val="24"/>
                <w:lang w:eastAsia="en-US"/>
              </w:rPr>
              <w:t>Market value</w:t>
            </w:r>
          </w:p>
          <w:p w:rsidR="00EB7754" w:rsidRPr="00BB7961" w:rsidRDefault="00670114" w:rsidP="00EB7754">
            <w:pPr>
              <w:jc w:val="center"/>
              <w:rPr>
                <w:b/>
                <w:snapToGrid w:val="0"/>
                <w:szCs w:val="24"/>
                <w:lang w:eastAsia="en-US"/>
              </w:rPr>
            </w:pPr>
            <w:r w:rsidRPr="00670114">
              <w:rPr>
                <w:b/>
                <w:snapToGrid w:val="0"/>
                <w:szCs w:val="24"/>
                <w:lang w:eastAsia="en-US"/>
              </w:rPr>
              <w:t>31 March 2013</w:t>
            </w:r>
          </w:p>
          <w:p w:rsidR="00F570B3" w:rsidRPr="00BB7961" w:rsidRDefault="00670114" w:rsidP="008538AB">
            <w:pPr>
              <w:jc w:val="center"/>
              <w:rPr>
                <w:b/>
                <w:szCs w:val="24"/>
              </w:rPr>
            </w:pPr>
            <w:r w:rsidRPr="00670114">
              <w:rPr>
                <w:b/>
                <w:snapToGrid w:val="0"/>
                <w:szCs w:val="24"/>
                <w:lang w:eastAsia="en-US"/>
              </w:rPr>
              <w:t>£m</w:t>
            </w:r>
          </w:p>
        </w:tc>
      </w:tr>
      <w:tr w:rsidR="00EB7754" w:rsidRPr="003A51FC" w:rsidTr="007F29FB">
        <w:trPr>
          <w:trHeight w:val="397"/>
        </w:trPr>
        <w:tc>
          <w:tcPr>
            <w:tcW w:w="534" w:type="dxa"/>
          </w:tcPr>
          <w:p w:rsidR="00F570B3" w:rsidRPr="003A51FC" w:rsidRDefault="00F570B3" w:rsidP="00EB7754">
            <w:pPr>
              <w:rPr>
                <w:snapToGrid w:val="0"/>
                <w:sz w:val="22"/>
                <w:szCs w:val="22"/>
                <w:highlight w:val="yellow"/>
                <w:lang w:eastAsia="en-US"/>
              </w:rPr>
            </w:pPr>
          </w:p>
        </w:tc>
        <w:tc>
          <w:tcPr>
            <w:tcW w:w="4677" w:type="dxa"/>
            <w:vAlign w:val="center"/>
          </w:tcPr>
          <w:p w:rsidR="00F570B3" w:rsidRPr="00BB7961" w:rsidRDefault="00670114" w:rsidP="00EB7754">
            <w:pPr>
              <w:rPr>
                <w:b/>
                <w:sz w:val="28"/>
                <w:szCs w:val="28"/>
              </w:rPr>
            </w:pPr>
            <w:r w:rsidRPr="00670114">
              <w:rPr>
                <w:rFonts w:cs="Arial"/>
              </w:rPr>
              <w:t>10 Brook St, London</w:t>
            </w:r>
          </w:p>
        </w:tc>
        <w:tc>
          <w:tcPr>
            <w:tcW w:w="2694" w:type="dxa"/>
            <w:vAlign w:val="center"/>
          </w:tcPr>
          <w:p w:rsidR="00F570B3" w:rsidRPr="00BB7961" w:rsidRDefault="00670114" w:rsidP="00EB7754">
            <w:pPr>
              <w:rPr>
                <w:snapToGrid w:val="0"/>
                <w:sz w:val="22"/>
                <w:szCs w:val="22"/>
                <w:lang w:eastAsia="en-US"/>
              </w:rPr>
            </w:pPr>
            <w:r w:rsidRPr="00670114">
              <w:rPr>
                <w:rFonts w:cs="Arial"/>
              </w:rPr>
              <w:t>Offices</w:t>
            </w:r>
          </w:p>
        </w:tc>
        <w:tc>
          <w:tcPr>
            <w:tcW w:w="1701" w:type="dxa"/>
            <w:vAlign w:val="center"/>
          </w:tcPr>
          <w:p w:rsidR="00F570B3" w:rsidRPr="00BB7961" w:rsidRDefault="00670114" w:rsidP="003328F2">
            <w:pPr>
              <w:jc w:val="center"/>
              <w:rPr>
                <w:b/>
                <w:sz w:val="28"/>
                <w:szCs w:val="28"/>
              </w:rPr>
            </w:pPr>
            <w:r w:rsidRPr="00670114">
              <w:rPr>
                <w:rFonts w:cs="Arial"/>
              </w:rPr>
              <w:t>34.5</w:t>
            </w:r>
          </w:p>
        </w:tc>
      </w:tr>
      <w:tr w:rsidR="00EB7754" w:rsidRPr="003A51FC" w:rsidTr="007F29FB">
        <w:trPr>
          <w:trHeight w:val="397"/>
        </w:trPr>
        <w:tc>
          <w:tcPr>
            <w:tcW w:w="534" w:type="dxa"/>
          </w:tcPr>
          <w:p w:rsidR="00F570B3" w:rsidRPr="003A51FC" w:rsidRDefault="00F570B3" w:rsidP="00EB7754">
            <w:pPr>
              <w:rPr>
                <w:snapToGrid w:val="0"/>
                <w:sz w:val="22"/>
                <w:szCs w:val="22"/>
                <w:highlight w:val="yellow"/>
                <w:lang w:eastAsia="en-US"/>
              </w:rPr>
            </w:pPr>
          </w:p>
        </w:tc>
        <w:tc>
          <w:tcPr>
            <w:tcW w:w="4677" w:type="dxa"/>
            <w:vAlign w:val="center"/>
          </w:tcPr>
          <w:p w:rsidR="00F570B3" w:rsidRPr="00BB7961" w:rsidRDefault="00670114" w:rsidP="00EB7754">
            <w:pPr>
              <w:rPr>
                <w:b/>
                <w:sz w:val="28"/>
                <w:szCs w:val="28"/>
              </w:rPr>
            </w:pPr>
            <w:proofErr w:type="spellStart"/>
            <w:r w:rsidRPr="00670114">
              <w:rPr>
                <w:rFonts w:cs="Arial"/>
              </w:rPr>
              <w:t>Sainsburys</w:t>
            </w:r>
            <w:proofErr w:type="spellEnd"/>
            <w:r w:rsidRPr="00670114">
              <w:rPr>
                <w:rFonts w:cs="Arial"/>
              </w:rPr>
              <w:t xml:space="preserve"> Store, </w:t>
            </w:r>
            <w:proofErr w:type="spellStart"/>
            <w:r w:rsidRPr="00670114">
              <w:rPr>
                <w:rFonts w:cs="Arial"/>
              </w:rPr>
              <w:t>Elgiva</w:t>
            </w:r>
            <w:proofErr w:type="spellEnd"/>
            <w:r w:rsidRPr="00670114">
              <w:rPr>
                <w:rFonts w:cs="Arial"/>
              </w:rPr>
              <w:t xml:space="preserve"> Lane, Chesham</w:t>
            </w:r>
          </w:p>
        </w:tc>
        <w:tc>
          <w:tcPr>
            <w:tcW w:w="2694" w:type="dxa"/>
            <w:vAlign w:val="center"/>
          </w:tcPr>
          <w:p w:rsidR="00F570B3" w:rsidRPr="00BB7961" w:rsidRDefault="00670114" w:rsidP="00EB7754">
            <w:pPr>
              <w:rPr>
                <w:b/>
                <w:sz w:val="28"/>
                <w:szCs w:val="28"/>
              </w:rPr>
            </w:pPr>
            <w:r w:rsidRPr="00670114">
              <w:rPr>
                <w:rFonts w:cs="Arial"/>
              </w:rPr>
              <w:t>Shops</w:t>
            </w:r>
          </w:p>
        </w:tc>
        <w:tc>
          <w:tcPr>
            <w:tcW w:w="1701" w:type="dxa"/>
            <w:vAlign w:val="center"/>
          </w:tcPr>
          <w:p w:rsidR="00F570B3" w:rsidRPr="00BB7961" w:rsidRDefault="00670114" w:rsidP="003328F2">
            <w:pPr>
              <w:jc w:val="center"/>
              <w:rPr>
                <w:b/>
                <w:sz w:val="28"/>
                <w:szCs w:val="28"/>
              </w:rPr>
            </w:pPr>
            <w:r w:rsidRPr="00670114">
              <w:rPr>
                <w:rFonts w:cs="Arial"/>
              </w:rPr>
              <w:t>29.2</w:t>
            </w:r>
          </w:p>
        </w:tc>
      </w:tr>
      <w:tr w:rsidR="000B2827" w:rsidRPr="003A51FC" w:rsidTr="007F29FB">
        <w:trPr>
          <w:trHeight w:val="397"/>
        </w:trPr>
        <w:tc>
          <w:tcPr>
            <w:tcW w:w="534" w:type="dxa"/>
          </w:tcPr>
          <w:p w:rsidR="000B2827" w:rsidRPr="003A51FC" w:rsidRDefault="000B2827" w:rsidP="00EB7754">
            <w:pPr>
              <w:rPr>
                <w:snapToGrid w:val="0"/>
                <w:sz w:val="22"/>
                <w:szCs w:val="22"/>
                <w:highlight w:val="yellow"/>
                <w:lang w:eastAsia="en-US"/>
              </w:rPr>
            </w:pPr>
          </w:p>
        </w:tc>
        <w:tc>
          <w:tcPr>
            <w:tcW w:w="4677" w:type="dxa"/>
            <w:vAlign w:val="center"/>
          </w:tcPr>
          <w:p w:rsidR="00BB7961" w:rsidRPr="00BB7961" w:rsidRDefault="00670114" w:rsidP="00EB7754">
            <w:pPr>
              <w:rPr>
                <w:rFonts w:cs="Arial"/>
              </w:rPr>
            </w:pPr>
            <w:r w:rsidRPr="00670114">
              <w:rPr>
                <w:rFonts w:cs="Arial"/>
              </w:rPr>
              <w:t>Princes Mead Shopping Centre, Farnborough</w:t>
            </w:r>
          </w:p>
        </w:tc>
        <w:tc>
          <w:tcPr>
            <w:tcW w:w="2694" w:type="dxa"/>
            <w:vAlign w:val="center"/>
          </w:tcPr>
          <w:p w:rsidR="000B2827" w:rsidRPr="00BB7961" w:rsidRDefault="00670114" w:rsidP="00EB7754">
            <w:pPr>
              <w:rPr>
                <w:rFonts w:cs="Arial"/>
              </w:rPr>
            </w:pPr>
            <w:r w:rsidRPr="00670114">
              <w:rPr>
                <w:rFonts w:cs="Arial"/>
              </w:rPr>
              <w:t>Shopping Centre</w:t>
            </w:r>
          </w:p>
        </w:tc>
        <w:tc>
          <w:tcPr>
            <w:tcW w:w="1701" w:type="dxa"/>
            <w:vAlign w:val="center"/>
          </w:tcPr>
          <w:p w:rsidR="000B2827" w:rsidRPr="00BB7961" w:rsidRDefault="00670114" w:rsidP="003328F2">
            <w:pPr>
              <w:jc w:val="center"/>
              <w:rPr>
                <w:rFonts w:cs="Arial"/>
              </w:rPr>
            </w:pPr>
            <w:r w:rsidRPr="00670114">
              <w:rPr>
                <w:rFonts w:cs="Arial"/>
              </w:rPr>
              <w:t>23.8</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4848F6" w:rsidRDefault="00670114">
            <w:pPr>
              <w:rPr>
                <w:rFonts w:cs="Arial"/>
              </w:rPr>
            </w:pPr>
            <w:r w:rsidRPr="00670114">
              <w:rPr>
                <w:rFonts w:cs="Arial"/>
              </w:rPr>
              <w:t xml:space="preserve">St </w:t>
            </w:r>
            <w:proofErr w:type="spellStart"/>
            <w:r w:rsidRPr="00670114">
              <w:rPr>
                <w:rFonts w:cs="Arial"/>
              </w:rPr>
              <w:t>Edmund</w:t>
            </w:r>
            <w:r w:rsidR="008E1E86">
              <w:rPr>
                <w:rFonts w:cs="Arial"/>
              </w:rPr>
              <w:t>s</w:t>
            </w:r>
            <w:r w:rsidRPr="00670114">
              <w:rPr>
                <w:rFonts w:cs="Arial"/>
              </w:rPr>
              <w:t>bury</w:t>
            </w:r>
            <w:proofErr w:type="spellEnd"/>
            <w:r w:rsidRPr="00670114">
              <w:rPr>
                <w:rFonts w:cs="Arial"/>
              </w:rPr>
              <w:t xml:space="preserve"> Retail Park, Bury St Edmunds</w:t>
            </w:r>
          </w:p>
        </w:tc>
        <w:tc>
          <w:tcPr>
            <w:tcW w:w="2694" w:type="dxa"/>
            <w:vAlign w:val="center"/>
          </w:tcPr>
          <w:p w:rsidR="00BB7961" w:rsidRPr="00BB7961" w:rsidRDefault="00670114" w:rsidP="00EB7754">
            <w:pPr>
              <w:rPr>
                <w:rFonts w:cs="Arial"/>
              </w:rPr>
            </w:pPr>
            <w:r w:rsidRPr="00670114">
              <w:rPr>
                <w:rFonts w:cs="Arial"/>
              </w:rPr>
              <w:t>Retail Warehouse</w:t>
            </w:r>
          </w:p>
        </w:tc>
        <w:tc>
          <w:tcPr>
            <w:tcW w:w="1701" w:type="dxa"/>
            <w:vAlign w:val="center"/>
          </w:tcPr>
          <w:p w:rsidR="00A03095" w:rsidRPr="00A03095" w:rsidRDefault="00670114">
            <w:pPr>
              <w:jc w:val="center"/>
              <w:rPr>
                <w:rFonts w:cs="Arial"/>
              </w:rPr>
            </w:pPr>
            <w:r w:rsidRPr="00670114">
              <w:rPr>
                <w:rFonts w:cs="Arial"/>
              </w:rPr>
              <w:t>18.</w:t>
            </w:r>
            <w:r w:rsidR="002763EE">
              <w:rPr>
                <w:rFonts w:cs="Arial"/>
              </w:rPr>
              <w:t>7</w:t>
            </w:r>
          </w:p>
        </w:tc>
      </w:tr>
      <w:tr w:rsidR="00EB7754" w:rsidRPr="003A51FC" w:rsidTr="007F29FB">
        <w:trPr>
          <w:trHeight w:val="397"/>
        </w:trPr>
        <w:tc>
          <w:tcPr>
            <w:tcW w:w="534" w:type="dxa"/>
          </w:tcPr>
          <w:p w:rsidR="00F570B3" w:rsidRPr="003A51FC" w:rsidRDefault="00F570B3" w:rsidP="00EB7754">
            <w:pPr>
              <w:rPr>
                <w:snapToGrid w:val="0"/>
                <w:sz w:val="22"/>
                <w:szCs w:val="22"/>
                <w:highlight w:val="yellow"/>
                <w:lang w:eastAsia="en-US"/>
              </w:rPr>
            </w:pPr>
          </w:p>
        </w:tc>
        <w:tc>
          <w:tcPr>
            <w:tcW w:w="4677" w:type="dxa"/>
            <w:vAlign w:val="center"/>
          </w:tcPr>
          <w:p w:rsidR="00F570B3" w:rsidRPr="00BB7961" w:rsidRDefault="00670114" w:rsidP="00EB7754">
            <w:pPr>
              <w:rPr>
                <w:b/>
                <w:sz w:val="28"/>
                <w:szCs w:val="28"/>
              </w:rPr>
            </w:pPr>
            <w:r w:rsidRPr="00670114">
              <w:rPr>
                <w:rFonts w:cs="Arial"/>
              </w:rPr>
              <w:t>Benson House, Leeds</w:t>
            </w:r>
          </w:p>
        </w:tc>
        <w:tc>
          <w:tcPr>
            <w:tcW w:w="2694" w:type="dxa"/>
            <w:vAlign w:val="center"/>
          </w:tcPr>
          <w:p w:rsidR="00F570B3" w:rsidRPr="00BB7961" w:rsidRDefault="00670114" w:rsidP="00EB7754">
            <w:pPr>
              <w:rPr>
                <w:b/>
                <w:sz w:val="28"/>
                <w:szCs w:val="28"/>
              </w:rPr>
            </w:pPr>
            <w:r w:rsidRPr="00670114">
              <w:rPr>
                <w:rFonts w:cs="Arial"/>
              </w:rPr>
              <w:t>Offices</w:t>
            </w:r>
          </w:p>
        </w:tc>
        <w:tc>
          <w:tcPr>
            <w:tcW w:w="1701" w:type="dxa"/>
            <w:vAlign w:val="center"/>
          </w:tcPr>
          <w:p w:rsidR="00F570B3" w:rsidRPr="00BB7961" w:rsidRDefault="00670114" w:rsidP="003328F2">
            <w:pPr>
              <w:jc w:val="center"/>
              <w:rPr>
                <w:b/>
                <w:sz w:val="28"/>
                <w:szCs w:val="28"/>
              </w:rPr>
            </w:pPr>
            <w:r w:rsidRPr="00670114">
              <w:rPr>
                <w:rFonts w:cs="Arial"/>
              </w:rPr>
              <w:t>17.2</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BB7961" w:rsidRPr="00BB7961" w:rsidRDefault="00670114" w:rsidP="000B2827">
            <w:pPr>
              <w:rPr>
                <w:rFonts w:cs="Arial"/>
              </w:rPr>
            </w:pPr>
            <w:r w:rsidRPr="00670114">
              <w:rPr>
                <w:rFonts w:cs="Arial"/>
              </w:rPr>
              <w:t xml:space="preserve">Somerfield Store, </w:t>
            </w:r>
            <w:proofErr w:type="spellStart"/>
            <w:r w:rsidRPr="00670114">
              <w:rPr>
                <w:rFonts w:cs="Arial"/>
              </w:rPr>
              <w:t>Wymondham</w:t>
            </w:r>
            <w:proofErr w:type="spellEnd"/>
          </w:p>
        </w:tc>
        <w:tc>
          <w:tcPr>
            <w:tcW w:w="2694" w:type="dxa"/>
            <w:vAlign w:val="center"/>
          </w:tcPr>
          <w:p w:rsidR="00BB7961" w:rsidRPr="00BB7961" w:rsidRDefault="00670114" w:rsidP="000B2827">
            <w:pPr>
              <w:keepNext/>
              <w:outlineLvl w:val="2"/>
              <w:rPr>
                <w:rFonts w:cs="Arial"/>
              </w:rPr>
            </w:pPr>
            <w:r w:rsidRPr="00670114">
              <w:rPr>
                <w:rFonts w:cs="Arial"/>
              </w:rPr>
              <w:t>Shops</w:t>
            </w:r>
          </w:p>
        </w:tc>
        <w:tc>
          <w:tcPr>
            <w:tcW w:w="1701" w:type="dxa"/>
            <w:vAlign w:val="center"/>
          </w:tcPr>
          <w:p w:rsidR="00BB7961" w:rsidRPr="00BB7961" w:rsidRDefault="00670114" w:rsidP="003328F2">
            <w:pPr>
              <w:keepNext/>
              <w:jc w:val="center"/>
              <w:outlineLvl w:val="2"/>
              <w:rPr>
                <w:rFonts w:cs="Arial"/>
              </w:rPr>
            </w:pPr>
            <w:r w:rsidRPr="00670114">
              <w:rPr>
                <w:rFonts w:cs="Arial"/>
              </w:rPr>
              <w:t>15.3</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BB7961" w:rsidRPr="00BB7961" w:rsidRDefault="00670114" w:rsidP="000B2827">
            <w:pPr>
              <w:rPr>
                <w:rFonts w:cs="Arial"/>
              </w:rPr>
            </w:pPr>
            <w:r w:rsidRPr="00670114">
              <w:rPr>
                <w:rFonts w:cs="Arial"/>
              </w:rPr>
              <w:t xml:space="preserve">1-3 </w:t>
            </w:r>
            <w:proofErr w:type="spellStart"/>
            <w:r w:rsidRPr="00670114">
              <w:rPr>
                <w:rFonts w:cs="Arial"/>
              </w:rPr>
              <w:t>Dufferin</w:t>
            </w:r>
            <w:proofErr w:type="spellEnd"/>
            <w:r w:rsidRPr="00670114">
              <w:rPr>
                <w:rFonts w:cs="Arial"/>
              </w:rPr>
              <w:t xml:space="preserve"> St, London</w:t>
            </w:r>
          </w:p>
        </w:tc>
        <w:tc>
          <w:tcPr>
            <w:tcW w:w="2694" w:type="dxa"/>
            <w:vAlign w:val="center"/>
          </w:tcPr>
          <w:p w:rsidR="00BB7961" w:rsidRPr="00BB7961" w:rsidRDefault="00670114" w:rsidP="000B2827">
            <w:pPr>
              <w:rPr>
                <w:rFonts w:cs="Arial"/>
              </w:rPr>
            </w:pPr>
            <w:r w:rsidRPr="00670114">
              <w:rPr>
                <w:rFonts w:cs="Arial"/>
              </w:rPr>
              <w:t>Offices</w:t>
            </w:r>
          </w:p>
        </w:tc>
        <w:tc>
          <w:tcPr>
            <w:tcW w:w="1701" w:type="dxa"/>
            <w:vAlign w:val="center"/>
          </w:tcPr>
          <w:p w:rsidR="00A03095" w:rsidRPr="00A03095" w:rsidRDefault="00670114">
            <w:pPr>
              <w:jc w:val="center"/>
              <w:rPr>
                <w:rFonts w:cs="Arial"/>
              </w:rPr>
            </w:pPr>
            <w:r w:rsidRPr="00670114">
              <w:rPr>
                <w:rFonts w:cs="Arial"/>
              </w:rPr>
              <w:t>14.6</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BB7961" w:rsidRPr="00BB7961" w:rsidRDefault="00670114" w:rsidP="000B2827">
            <w:pPr>
              <w:rPr>
                <w:b/>
                <w:sz w:val="28"/>
                <w:szCs w:val="28"/>
              </w:rPr>
            </w:pPr>
            <w:proofErr w:type="spellStart"/>
            <w:r w:rsidRPr="00670114">
              <w:rPr>
                <w:rFonts w:cs="Arial"/>
              </w:rPr>
              <w:t>Stukeley</w:t>
            </w:r>
            <w:proofErr w:type="spellEnd"/>
            <w:r w:rsidRPr="00670114">
              <w:rPr>
                <w:rFonts w:cs="Arial"/>
              </w:rPr>
              <w:t xml:space="preserve"> Road Retail Park, Huntingdon</w:t>
            </w:r>
          </w:p>
        </w:tc>
        <w:tc>
          <w:tcPr>
            <w:tcW w:w="2694" w:type="dxa"/>
            <w:vAlign w:val="center"/>
          </w:tcPr>
          <w:p w:rsidR="00BB7961" w:rsidRPr="00BB7961" w:rsidRDefault="00670114" w:rsidP="000B2827">
            <w:pPr>
              <w:rPr>
                <w:b/>
                <w:sz w:val="28"/>
                <w:szCs w:val="28"/>
              </w:rPr>
            </w:pPr>
            <w:r w:rsidRPr="00670114">
              <w:rPr>
                <w:rFonts w:cs="Arial"/>
              </w:rPr>
              <w:t>Retail Warehouse</w:t>
            </w:r>
          </w:p>
        </w:tc>
        <w:tc>
          <w:tcPr>
            <w:tcW w:w="1701" w:type="dxa"/>
            <w:vAlign w:val="center"/>
          </w:tcPr>
          <w:p w:rsidR="00A03095" w:rsidRDefault="00670114">
            <w:pPr>
              <w:jc w:val="center"/>
              <w:rPr>
                <w:b/>
                <w:sz w:val="28"/>
                <w:szCs w:val="28"/>
              </w:rPr>
            </w:pPr>
            <w:r w:rsidRPr="00670114">
              <w:rPr>
                <w:rFonts w:cs="Arial"/>
              </w:rPr>
              <w:t>14.5</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BB7961" w:rsidRPr="00BB7961" w:rsidRDefault="00670114" w:rsidP="009A3AFE">
            <w:pPr>
              <w:rPr>
                <w:rFonts w:cs="Arial"/>
              </w:rPr>
            </w:pPr>
            <w:r w:rsidRPr="00670114">
              <w:rPr>
                <w:rFonts w:cs="Arial"/>
              </w:rPr>
              <w:t>Weir Road, Wimbledon</w:t>
            </w:r>
          </w:p>
        </w:tc>
        <w:tc>
          <w:tcPr>
            <w:tcW w:w="2694" w:type="dxa"/>
            <w:vAlign w:val="center"/>
          </w:tcPr>
          <w:p w:rsidR="00BB7961" w:rsidRPr="00BB7961" w:rsidRDefault="00670114" w:rsidP="009A3AFE">
            <w:pPr>
              <w:rPr>
                <w:rFonts w:cs="Arial"/>
              </w:rPr>
            </w:pPr>
            <w:r w:rsidRPr="00670114">
              <w:rPr>
                <w:rFonts w:cs="Arial"/>
              </w:rPr>
              <w:t>Industrial / Warehouse</w:t>
            </w:r>
          </w:p>
        </w:tc>
        <w:tc>
          <w:tcPr>
            <w:tcW w:w="1701" w:type="dxa"/>
            <w:vAlign w:val="center"/>
          </w:tcPr>
          <w:p w:rsidR="00BB7961" w:rsidRPr="00BB7961" w:rsidRDefault="00670114" w:rsidP="003328F2">
            <w:pPr>
              <w:jc w:val="center"/>
              <w:rPr>
                <w:rFonts w:cs="Arial"/>
              </w:rPr>
            </w:pPr>
            <w:r w:rsidRPr="00670114">
              <w:rPr>
                <w:rFonts w:cs="Arial"/>
              </w:rPr>
              <w:t>14.4</w:t>
            </w:r>
          </w:p>
        </w:tc>
      </w:tr>
      <w:tr w:rsidR="00BB7961" w:rsidRPr="003A51FC" w:rsidTr="007F29FB">
        <w:trPr>
          <w:trHeight w:val="397"/>
        </w:trPr>
        <w:tc>
          <w:tcPr>
            <w:tcW w:w="534" w:type="dxa"/>
          </w:tcPr>
          <w:p w:rsidR="00BB7961" w:rsidRPr="003A51FC" w:rsidRDefault="00BB7961" w:rsidP="00EB7754">
            <w:pPr>
              <w:rPr>
                <w:snapToGrid w:val="0"/>
                <w:sz w:val="22"/>
                <w:szCs w:val="22"/>
                <w:highlight w:val="yellow"/>
                <w:lang w:eastAsia="en-US"/>
              </w:rPr>
            </w:pPr>
          </w:p>
        </w:tc>
        <w:tc>
          <w:tcPr>
            <w:tcW w:w="4677" w:type="dxa"/>
            <w:vAlign w:val="center"/>
          </w:tcPr>
          <w:p w:rsidR="00BB7961" w:rsidRPr="00BB7961" w:rsidRDefault="00670114" w:rsidP="009A3AFE">
            <w:pPr>
              <w:rPr>
                <w:snapToGrid w:val="0"/>
                <w:sz w:val="22"/>
                <w:szCs w:val="22"/>
                <w:lang w:eastAsia="en-US"/>
              </w:rPr>
            </w:pPr>
            <w:r w:rsidRPr="00670114">
              <w:rPr>
                <w:rFonts w:cs="Arial"/>
              </w:rPr>
              <w:t>Tuscany Park, Wakefield</w:t>
            </w:r>
          </w:p>
        </w:tc>
        <w:tc>
          <w:tcPr>
            <w:tcW w:w="2694" w:type="dxa"/>
            <w:vAlign w:val="center"/>
          </w:tcPr>
          <w:p w:rsidR="00BB7961" w:rsidRPr="00BB7961" w:rsidRDefault="00670114" w:rsidP="009A3AFE">
            <w:pPr>
              <w:rPr>
                <w:snapToGrid w:val="0"/>
                <w:sz w:val="22"/>
                <w:szCs w:val="22"/>
                <w:lang w:eastAsia="en-US"/>
              </w:rPr>
            </w:pPr>
            <w:r w:rsidRPr="00670114">
              <w:rPr>
                <w:rFonts w:cs="Arial"/>
              </w:rPr>
              <w:t>Industrial / Warehouse</w:t>
            </w:r>
          </w:p>
        </w:tc>
        <w:tc>
          <w:tcPr>
            <w:tcW w:w="1701" w:type="dxa"/>
            <w:vAlign w:val="center"/>
          </w:tcPr>
          <w:p w:rsidR="00A03095" w:rsidRDefault="00670114">
            <w:pPr>
              <w:jc w:val="center"/>
              <w:rPr>
                <w:snapToGrid w:val="0"/>
                <w:sz w:val="22"/>
                <w:szCs w:val="22"/>
                <w:lang w:eastAsia="en-US"/>
              </w:rPr>
            </w:pPr>
            <w:r w:rsidRPr="00670114">
              <w:rPr>
                <w:rFonts w:cs="Arial"/>
              </w:rPr>
              <w:t>14.1</w:t>
            </w:r>
          </w:p>
        </w:tc>
      </w:tr>
      <w:tr w:rsidR="00BB7961" w:rsidRPr="003A51FC" w:rsidTr="007F29FB">
        <w:trPr>
          <w:trHeight w:val="397"/>
        </w:trPr>
        <w:tc>
          <w:tcPr>
            <w:tcW w:w="534" w:type="dxa"/>
          </w:tcPr>
          <w:p w:rsidR="00BB7961" w:rsidRPr="003A51FC" w:rsidRDefault="00BB7961" w:rsidP="00EB7754">
            <w:pPr>
              <w:rPr>
                <w:sz w:val="22"/>
                <w:szCs w:val="22"/>
                <w:highlight w:val="yellow"/>
              </w:rPr>
            </w:pPr>
          </w:p>
        </w:tc>
        <w:tc>
          <w:tcPr>
            <w:tcW w:w="4677" w:type="dxa"/>
            <w:vAlign w:val="center"/>
          </w:tcPr>
          <w:p w:rsidR="00BB7961" w:rsidRPr="003A51FC" w:rsidRDefault="00670114" w:rsidP="00EB7754">
            <w:pPr>
              <w:rPr>
                <w:b/>
                <w:szCs w:val="24"/>
                <w:highlight w:val="yellow"/>
              </w:rPr>
            </w:pPr>
            <w:r w:rsidRPr="00670114">
              <w:rPr>
                <w:szCs w:val="24"/>
              </w:rPr>
              <w:t>Total</w:t>
            </w:r>
          </w:p>
        </w:tc>
        <w:tc>
          <w:tcPr>
            <w:tcW w:w="2694" w:type="dxa"/>
            <w:vAlign w:val="center"/>
          </w:tcPr>
          <w:p w:rsidR="00BB7961" w:rsidRPr="003A51FC" w:rsidRDefault="00BB7961" w:rsidP="00EB7754">
            <w:pPr>
              <w:rPr>
                <w:b/>
                <w:sz w:val="28"/>
                <w:szCs w:val="28"/>
                <w:highlight w:val="yellow"/>
              </w:rPr>
            </w:pPr>
          </w:p>
        </w:tc>
        <w:tc>
          <w:tcPr>
            <w:tcW w:w="1701" w:type="dxa"/>
            <w:tcBorders>
              <w:top w:val="single" w:sz="4" w:space="0" w:color="auto"/>
              <w:bottom w:val="single" w:sz="4" w:space="0" w:color="auto"/>
            </w:tcBorders>
            <w:vAlign w:val="center"/>
          </w:tcPr>
          <w:p w:rsidR="00A03095" w:rsidRPr="00A03095" w:rsidRDefault="00670114">
            <w:pPr>
              <w:jc w:val="center"/>
              <w:rPr>
                <w:rFonts w:cs="Arial"/>
                <w:highlight w:val="yellow"/>
              </w:rPr>
            </w:pPr>
            <w:r w:rsidRPr="00670114">
              <w:rPr>
                <w:rFonts w:cs="Arial"/>
              </w:rPr>
              <w:t>196.</w:t>
            </w:r>
            <w:r w:rsidR="002763EE">
              <w:rPr>
                <w:rFonts w:cs="Arial"/>
              </w:rPr>
              <w:t>3</w:t>
            </w:r>
          </w:p>
        </w:tc>
      </w:tr>
    </w:tbl>
    <w:p w:rsidR="00F570B3" w:rsidRPr="003A51FC" w:rsidRDefault="00F570B3" w:rsidP="00EB4217">
      <w:pPr>
        <w:autoSpaceDE w:val="0"/>
        <w:autoSpaceDN w:val="0"/>
        <w:adjustRightInd w:val="0"/>
        <w:rPr>
          <w:rFonts w:ascii="ArialMT" w:hAnsi="ArialMT" w:cs="ArialMT"/>
          <w:szCs w:val="24"/>
          <w:highlight w:val="yellow"/>
        </w:rPr>
      </w:pPr>
    </w:p>
    <w:p w:rsidR="00180744" w:rsidRPr="003A51FC" w:rsidRDefault="00180744" w:rsidP="00EB4217">
      <w:pPr>
        <w:autoSpaceDE w:val="0"/>
        <w:autoSpaceDN w:val="0"/>
        <w:adjustRightInd w:val="0"/>
        <w:rPr>
          <w:rFonts w:ascii="ArialMT" w:hAnsi="ArialMT" w:cs="ArialMT"/>
          <w:szCs w:val="24"/>
          <w:highlight w:val="yellow"/>
        </w:rPr>
      </w:pPr>
    </w:p>
    <w:p w:rsidR="001D4D59" w:rsidRPr="003A51FC" w:rsidRDefault="001D4D59" w:rsidP="00EB4217">
      <w:pPr>
        <w:autoSpaceDE w:val="0"/>
        <w:autoSpaceDN w:val="0"/>
        <w:adjustRightInd w:val="0"/>
        <w:rPr>
          <w:rFonts w:ascii="ArialMT" w:hAnsi="ArialMT" w:cs="ArialMT"/>
          <w:noProof/>
          <w:szCs w:val="24"/>
          <w:highlight w:val="yellow"/>
        </w:rPr>
      </w:pPr>
    </w:p>
    <w:p w:rsidR="00FB35EF" w:rsidRPr="003A51FC" w:rsidRDefault="00FB35EF" w:rsidP="00EB4217">
      <w:pPr>
        <w:autoSpaceDE w:val="0"/>
        <w:autoSpaceDN w:val="0"/>
        <w:adjustRightInd w:val="0"/>
        <w:rPr>
          <w:rFonts w:ascii="Arial-BoldMT" w:hAnsi="Arial-BoldMT" w:cs="Arial-BoldMT"/>
          <w:b/>
          <w:bCs/>
          <w:szCs w:val="24"/>
          <w:highlight w:val="yellow"/>
        </w:rPr>
      </w:pPr>
    </w:p>
    <w:p w:rsidR="009A269F" w:rsidRPr="004D4C11" w:rsidRDefault="009A269F" w:rsidP="009A269F">
      <w:pPr>
        <w:autoSpaceDE w:val="0"/>
        <w:autoSpaceDN w:val="0"/>
        <w:adjustRightInd w:val="0"/>
        <w:rPr>
          <w:rFonts w:ascii="Arial-BoldMT" w:hAnsi="Arial-BoldMT" w:cs="Arial-BoldMT"/>
          <w:b/>
          <w:bCs/>
          <w:szCs w:val="24"/>
        </w:rPr>
      </w:pPr>
      <w:r w:rsidRPr="004D4C11">
        <w:rPr>
          <w:rFonts w:ascii="Arial-BoldMT" w:hAnsi="Arial-BoldMT" w:cs="Arial-BoldMT"/>
          <w:b/>
          <w:bCs/>
          <w:szCs w:val="24"/>
        </w:rPr>
        <w:t>Policies in respect of Socially Responsible Investment and Voting</w:t>
      </w:r>
    </w:p>
    <w:p w:rsidR="009A269F" w:rsidRPr="004D4C11" w:rsidRDefault="009A269F" w:rsidP="009A269F">
      <w:pPr>
        <w:autoSpaceDE w:val="0"/>
        <w:autoSpaceDN w:val="0"/>
        <w:adjustRightInd w:val="0"/>
        <w:rPr>
          <w:rFonts w:ascii="ArialMT" w:hAnsi="ArialMT" w:cs="ArialMT"/>
          <w:szCs w:val="24"/>
          <w:highlight w:val="yellow"/>
        </w:rPr>
      </w:pPr>
    </w:p>
    <w:p w:rsidR="009A269F" w:rsidRPr="00733A1C" w:rsidRDefault="00670114" w:rsidP="009A269F">
      <w:pPr>
        <w:autoSpaceDE w:val="0"/>
        <w:autoSpaceDN w:val="0"/>
        <w:adjustRightInd w:val="0"/>
        <w:rPr>
          <w:rFonts w:ascii="Arial-BoldMT" w:hAnsi="Arial-BoldMT" w:cs="Arial-BoldMT"/>
          <w:b/>
          <w:bCs/>
          <w:szCs w:val="24"/>
        </w:rPr>
      </w:pPr>
      <w:r w:rsidRPr="00670114">
        <w:rPr>
          <w:rFonts w:ascii="Arial-BoldMT" w:hAnsi="Arial-BoldMT" w:cs="Arial-BoldMT"/>
          <w:b/>
          <w:bCs/>
          <w:szCs w:val="24"/>
        </w:rPr>
        <w:t>Social, Environmental and Ethical Considerations</w:t>
      </w:r>
    </w:p>
    <w:p w:rsidR="009A269F" w:rsidRPr="004D4C11" w:rsidRDefault="009A269F" w:rsidP="009A269F">
      <w:pPr>
        <w:autoSpaceDE w:val="0"/>
        <w:autoSpaceDN w:val="0"/>
        <w:adjustRightInd w:val="0"/>
        <w:rPr>
          <w:rFonts w:ascii="ArialMT" w:hAnsi="ArialMT" w:cs="ArialMT"/>
          <w:szCs w:val="24"/>
          <w:highlight w:val="yellow"/>
        </w:rPr>
      </w:pPr>
    </w:p>
    <w:p w:rsidR="009A269F" w:rsidRPr="004D4C11" w:rsidRDefault="009A269F" w:rsidP="009A269F">
      <w:pPr>
        <w:pStyle w:val="NormalWeb"/>
        <w:spacing w:line="300" w:lineRule="atLeast"/>
        <w:jc w:val="both"/>
        <w:rPr>
          <w:rFonts w:ascii="ArialMT" w:hAnsi="ArialMT" w:cs="ArialMT"/>
          <w:szCs w:val="24"/>
        </w:rPr>
      </w:pPr>
      <w:r w:rsidRPr="004D4C11">
        <w:rPr>
          <w:rFonts w:ascii="ArialMT" w:hAnsi="ArialMT" w:cs="ArialMT"/>
          <w:szCs w:val="24"/>
        </w:rPr>
        <w:t xml:space="preserve">The Fund is active on governance issues through its membership of the Local Authority Pension Fund Forum ("LAPFF"), which exists to promote the investment interests of local authority pension funds, and to </w:t>
      </w:r>
      <w:proofErr w:type="spellStart"/>
      <w:r w:rsidRPr="004D4C11">
        <w:rPr>
          <w:rFonts w:ascii="ArialMT" w:hAnsi="ArialMT" w:cs="ArialMT"/>
          <w:szCs w:val="24"/>
        </w:rPr>
        <w:t>maximise</w:t>
      </w:r>
      <w:proofErr w:type="spellEnd"/>
      <w:r w:rsidRPr="004D4C11">
        <w:rPr>
          <w:rFonts w:ascii="ArialMT" w:hAnsi="ArialMT" w:cs="ArialMT"/>
          <w:szCs w:val="24"/>
        </w:rPr>
        <w:t xml:space="preserve"> their influence as shareholders whilst promoting social responsibility and corporate governance at the companies in which they invest.</w:t>
      </w:r>
    </w:p>
    <w:p w:rsidR="009A269F" w:rsidRPr="004D4C11" w:rsidRDefault="009A269F" w:rsidP="009A269F">
      <w:pPr>
        <w:autoSpaceDE w:val="0"/>
        <w:autoSpaceDN w:val="0"/>
        <w:adjustRightInd w:val="0"/>
        <w:rPr>
          <w:rFonts w:ascii="ArialMT" w:hAnsi="ArialMT" w:cs="ArialMT"/>
          <w:szCs w:val="24"/>
          <w:lang w:val="en-US"/>
        </w:rPr>
      </w:pPr>
    </w:p>
    <w:p w:rsidR="009A269F" w:rsidRPr="004D4C11" w:rsidRDefault="009A269F" w:rsidP="009A269F">
      <w:pPr>
        <w:autoSpaceDE w:val="0"/>
        <w:autoSpaceDN w:val="0"/>
        <w:adjustRightInd w:val="0"/>
        <w:rPr>
          <w:rFonts w:ascii="ArialMT" w:hAnsi="ArialMT" w:cs="ArialMT"/>
          <w:szCs w:val="24"/>
          <w:lang w:val="en-US"/>
        </w:rPr>
      </w:pPr>
      <w:r w:rsidRPr="004D4C11">
        <w:rPr>
          <w:rFonts w:ascii="ArialMT" w:hAnsi="ArialMT" w:cs="ArialMT"/>
          <w:szCs w:val="24"/>
          <w:lang w:val="en-US"/>
        </w:rPr>
        <w:t>The Fund also uses the services of Pensions Investment Research Consultants ("PIRC"), which is a leading independent research and advisory consultancy providing services to institutional investors on corporate governance and corporate social responsibility</w:t>
      </w:r>
      <w:r>
        <w:rPr>
          <w:rFonts w:ascii="ArialMT" w:hAnsi="ArialMT" w:cs="ArialMT"/>
          <w:szCs w:val="24"/>
          <w:lang w:val="en-US"/>
        </w:rPr>
        <w:t>.</w:t>
      </w:r>
    </w:p>
    <w:p w:rsidR="009A269F" w:rsidRPr="004D4C11" w:rsidRDefault="009A269F" w:rsidP="009A269F">
      <w:pPr>
        <w:autoSpaceDE w:val="0"/>
        <w:autoSpaceDN w:val="0"/>
        <w:adjustRightInd w:val="0"/>
        <w:rPr>
          <w:rFonts w:ascii="Arial-BoldMT" w:hAnsi="Arial-BoldMT" w:cs="Arial-BoldMT"/>
          <w:b/>
          <w:bCs/>
          <w:szCs w:val="24"/>
          <w:highlight w:val="yellow"/>
        </w:rPr>
      </w:pPr>
    </w:p>
    <w:p w:rsidR="009A269F" w:rsidRDefault="009A269F" w:rsidP="009A269F">
      <w:pPr>
        <w:autoSpaceDE w:val="0"/>
        <w:autoSpaceDN w:val="0"/>
        <w:adjustRightInd w:val="0"/>
        <w:rPr>
          <w:rFonts w:ascii="Arial-BoldMT" w:hAnsi="Arial-BoldMT" w:cs="Arial-BoldMT"/>
          <w:b/>
          <w:bCs/>
          <w:i/>
          <w:szCs w:val="24"/>
        </w:rPr>
      </w:pPr>
    </w:p>
    <w:p w:rsidR="009A269F" w:rsidRPr="009A269F" w:rsidRDefault="00670114" w:rsidP="009A269F">
      <w:pPr>
        <w:autoSpaceDE w:val="0"/>
        <w:autoSpaceDN w:val="0"/>
        <w:adjustRightInd w:val="0"/>
        <w:rPr>
          <w:rFonts w:ascii="Arial-BoldMT" w:hAnsi="Arial-BoldMT" w:cs="Arial-BoldMT"/>
          <w:b/>
          <w:bCs/>
          <w:szCs w:val="24"/>
        </w:rPr>
      </w:pPr>
      <w:r w:rsidRPr="00670114">
        <w:rPr>
          <w:rFonts w:ascii="Arial-BoldMT" w:hAnsi="Arial-BoldMT" w:cs="Arial-BoldMT"/>
          <w:b/>
          <w:bCs/>
          <w:szCs w:val="24"/>
        </w:rPr>
        <w:t>Policy on Voting</w:t>
      </w:r>
    </w:p>
    <w:p w:rsidR="009A269F" w:rsidRPr="004D4C11" w:rsidRDefault="009A269F" w:rsidP="009A269F">
      <w:pPr>
        <w:autoSpaceDE w:val="0"/>
        <w:autoSpaceDN w:val="0"/>
        <w:adjustRightInd w:val="0"/>
        <w:rPr>
          <w:rFonts w:ascii="ArialMT" w:hAnsi="ArialMT" w:cs="ArialMT"/>
          <w:szCs w:val="24"/>
          <w:highlight w:val="yellow"/>
        </w:rPr>
      </w:pPr>
    </w:p>
    <w:p w:rsidR="009A269F" w:rsidRPr="004D4C11" w:rsidRDefault="009A269F" w:rsidP="009A269F">
      <w:pPr>
        <w:autoSpaceDE w:val="0"/>
        <w:autoSpaceDN w:val="0"/>
        <w:adjustRightInd w:val="0"/>
      </w:pPr>
      <w:r w:rsidRPr="004D4C11">
        <w:t xml:space="preserve">For many years, the Fund has followed the voting recommendations of PIRC with the Fund's managers being instructed to vote at shareholder meetings in accordance with PIRC's recommendations.  PIRC has been acting as the Fund's proxy since 2011 and casting the Fund's votes directly at shareholder meetings.  </w:t>
      </w:r>
    </w:p>
    <w:p w:rsidR="009A269F" w:rsidRPr="004D4C11" w:rsidRDefault="009A269F" w:rsidP="009A269F">
      <w:pPr>
        <w:autoSpaceDE w:val="0"/>
        <w:autoSpaceDN w:val="0"/>
        <w:adjustRightInd w:val="0"/>
      </w:pPr>
    </w:p>
    <w:p w:rsidR="00AA237B" w:rsidRDefault="00AA237B" w:rsidP="009A269F">
      <w:pPr>
        <w:autoSpaceDE w:val="0"/>
        <w:autoSpaceDN w:val="0"/>
        <w:adjustRightInd w:val="0"/>
      </w:pPr>
    </w:p>
    <w:p w:rsidR="009A269F" w:rsidRPr="004D4C11" w:rsidRDefault="009A269F" w:rsidP="009A269F">
      <w:pPr>
        <w:autoSpaceDE w:val="0"/>
        <w:autoSpaceDN w:val="0"/>
        <w:adjustRightInd w:val="0"/>
      </w:pPr>
      <w:r w:rsidRPr="004D4C11">
        <w:t>The Fund's investment managers receive advance notice of PIRC's voting intentions and may raise concerns with the Fund if they do not believe the recommended stance on a vote is in the best financial interests of the Fund.</w:t>
      </w:r>
    </w:p>
    <w:p w:rsidR="009A269F" w:rsidRPr="004D4C11" w:rsidRDefault="009A269F" w:rsidP="009A269F">
      <w:pPr>
        <w:autoSpaceDE w:val="0"/>
        <w:autoSpaceDN w:val="0"/>
        <w:adjustRightInd w:val="0"/>
      </w:pPr>
    </w:p>
    <w:p w:rsidR="009A269F" w:rsidRPr="004D4C11" w:rsidRDefault="009A269F" w:rsidP="009A269F">
      <w:pPr>
        <w:autoSpaceDE w:val="0"/>
        <w:autoSpaceDN w:val="0"/>
        <w:adjustRightInd w:val="0"/>
        <w:rPr>
          <w:rFonts w:ascii="ArialMT" w:hAnsi="ArialMT" w:cs="ArialMT"/>
          <w:szCs w:val="24"/>
        </w:rPr>
      </w:pPr>
      <w:r w:rsidRPr="004D4C11">
        <w:rPr>
          <w:rFonts w:ascii="ArialMT" w:hAnsi="ArialMT" w:cs="ArialMT"/>
          <w:szCs w:val="24"/>
        </w:rPr>
        <w:t>The Committee delegates its agreement of any significant departure from the guidelines proposed by the managers, to the Treasurer as Chair of the Investment Panel. In all voting decisions the long-term financial interests of the Fund are paramount. There were no occurrences of this during 2012/13.</w:t>
      </w:r>
    </w:p>
    <w:p w:rsidR="00C943E4" w:rsidRPr="003A51FC" w:rsidRDefault="00C943E4" w:rsidP="00C943E4">
      <w:pPr>
        <w:autoSpaceDE w:val="0"/>
        <w:autoSpaceDN w:val="0"/>
        <w:adjustRightInd w:val="0"/>
        <w:rPr>
          <w:rFonts w:ascii="ArialMT" w:hAnsi="ArialMT" w:cs="ArialMT"/>
          <w:szCs w:val="24"/>
          <w:highlight w:val="yellow"/>
        </w:rPr>
      </w:pPr>
    </w:p>
    <w:p w:rsidR="00EB4217" w:rsidRPr="003A51FC" w:rsidRDefault="00EB4217" w:rsidP="00EB4217">
      <w:pPr>
        <w:autoSpaceDE w:val="0"/>
        <w:autoSpaceDN w:val="0"/>
        <w:adjustRightInd w:val="0"/>
        <w:rPr>
          <w:rFonts w:ascii="ArialMT" w:hAnsi="ArialMT" w:cs="ArialMT"/>
          <w:szCs w:val="24"/>
          <w:highlight w:val="yellow"/>
        </w:rPr>
      </w:pPr>
    </w:p>
    <w:p w:rsidR="009A269F" w:rsidRPr="004D4C11" w:rsidRDefault="009A269F" w:rsidP="009A269F">
      <w:pPr>
        <w:autoSpaceDE w:val="0"/>
        <w:autoSpaceDN w:val="0"/>
        <w:adjustRightInd w:val="0"/>
        <w:rPr>
          <w:rFonts w:ascii="Arial-BoldMT" w:hAnsi="Arial-BoldMT" w:cs="Arial-BoldMT"/>
          <w:b/>
          <w:bCs/>
          <w:szCs w:val="24"/>
        </w:rPr>
      </w:pPr>
      <w:r w:rsidRPr="004D4C11">
        <w:rPr>
          <w:rFonts w:ascii="Arial-BoldMT" w:hAnsi="Arial-BoldMT" w:cs="Arial-BoldMT"/>
          <w:b/>
          <w:bCs/>
          <w:szCs w:val="24"/>
        </w:rPr>
        <w:t>Policy on Risk</w:t>
      </w:r>
    </w:p>
    <w:p w:rsidR="009A269F" w:rsidRPr="004D4C11" w:rsidRDefault="009A269F" w:rsidP="009A269F">
      <w:pPr>
        <w:autoSpaceDE w:val="0"/>
        <w:autoSpaceDN w:val="0"/>
        <w:adjustRightInd w:val="0"/>
        <w:rPr>
          <w:rFonts w:ascii="ArialMT" w:hAnsi="ArialMT" w:cs="ArialMT"/>
          <w:szCs w:val="24"/>
        </w:rPr>
      </w:pPr>
    </w:p>
    <w:p w:rsidR="009A269F" w:rsidRDefault="009A269F" w:rsidP="009A269F">
      <w:pPr>
        <w:autoSpaceDE w:val="0"/>
        <w:autoSpaceDN w:val="0"/>
        <w:adjustRightInd w:val="0"/>
        <w:rPr>
          <w:rFonts w:ascii="ArialMT" w:hAnsi="ArialMT" w:cs="ArialMT"/>
          <w:szCs w:val="24"/>
        </w:rPr>
      </w:pPr>
      <w:r w:rsidRPr="004D4C11">
        <w:rPr>
          <w:rFonts w:ascii="ArialMT" w:hAnsi="ArialMT" w:cs="ArialMT"/>
          <w:szCs w:val="24"/>
        </w:rPr>
        <w:t>The overriding objective of the Fund in respect of its investments is to strike a balance between minimising risk and maximising return. The structure of the investment management arrangements has been implemented in order to produce a balanced spread of risk for the portfolio. Within this the managers are regularly challenged by the Panel about the risk profile of the portfolios that they manage for the Fund.</w:t>
      </w:r>
    </w:p>
    <w:p w:rsidR="009A269F" w:rsidRPr="004D4C11" w:rsidRDefault="009A269F" w:rsidP="009A269F">
      <w:pPr>
        <w:autoSpaceDE w:val="0"/>
        <w:autoSpaceDN w:val="0"/>
        <w:adjustRightInd w:val="0"/>
        <w:rPr>
          <w:rFonts w:ascii="ArialMT" w:hAnsi="ArialMT" w:cs="ArialMT"/>
          <w:szCs w:val="24"/>
        </w:rPr>
      </w:pPr>
    </w:p>
    <w:p w:rsidR="009A269F" w:rsidRPr="004D4C11" w:rsidRDefault="009A269F" w:rsidP="009A269F">
      <w:pPr>
        <w:autoSpaceDE w:val="0"/>
        <w:autoSpaceDN w:val="0"/>
        <w:adjustRightInd w:val="0"/>
        <w:rPr>
          <w:rFonts w:ascii="Arial-BoldMT" w:hAnsi="Arial-BoldMT" w:cs="Arial-BoldMT"/>
          <w:b/>
          <w:bCs/>
          <w:szCs w:val="24"/>
          <w:highlight w:val="yellow"/>
        </w:rPr>
      </w:pPr>
    </w:p>
    <w:p w:rsidR="009A269F" w:rsidRPr="004D4C11" w:rsidRDefault="009A269F" w:rsidP="009A269F">
      <w:pPr>
        <w:autoSpaceDE w:val="0"/>
        <w:autoSpaceDN w:val="0"/>
        <w:adjustRightInd w:val="0"/>
        <w:rPr>
          <w:rFonts w:ascii="Arial-BoldMT" w:hAnsi="Arial-BoldMT" w:cs="Arial-BoldMT"/>
          <w:b/>
          <w:bCs/>
          <w:szCs w:val="24"/>
        </w:rPr>
      </w:pPr>
      <w:r w:rsidRPr="004D4C11">
        <w:rPr>
          <w:rFonts w:ascii="Arial-BoldMT" w:hAnsi="Arial-BoldMT" w:cs="Arial-BoldMT"/>
          <w:b/>
          <w:bCs/>
          <w:szCs w:val="24"/>
        </w:rPr>
        <w:t>Compliance with Myners Principles</w:t>
      </w:r>
    </w:p>
    <w:p w:rsidR="009A269F" w:rsidRPr="00134FD2" w:rsidRDefault="009A269F" w:rsidP="009A269F">
      <w:pPr>
        <w:autoSpaceDE w:val="0"/>
        <w:autoSpaceDN w:val="0"/>
        <w:adjustRightInd w:val="0"/>
        <w:rPr>
          <w:rFonts w:ascii="ArialMT" w:hAnsi="ArialMT" w:cs="ArialMT"/>
          <w:color w:val="FF0000"/>
          <w:szCs w:val="24"/>
        </w:rPr>
      </w:pPr>
    </w:p>
    <w:p w:rsidR="009A269F" w:rsidRPr="00D3709A" w:rsidRDefault="009A269F" w:rsidP="009A269F">
      <w:pPr>
        <w:autoSpaceDE w:val="0"/>
        <w:autoSpaceDN w:val="0"/>
        <w:adjustRightInd w:val="0"/>
        <w:rPr>
          <w:rFonts w:ascii="ArialMT" w:hAnsi="ArialMT" w:cs="ArialMT"/>
          <w:szCs w:val="24"/>
        </w:rPr>
      </w:pPr>
      <w:r w:rsidRPr="00D3709A">
        <w:rPr>
          <w:rFonts w:ascii="ArialMT" w:hAnsi="ArialMT" w:cs="ArialMT"/>
          <w:szCs w:val="24"/>
        </w:rPr>
        <w:t xml:space="preserve">The Fund is compliant with the Myners Principles, details of which can be found in </w:t>
      </w:r>
      <w:proofErr w:type="gramStart"/>
      <w:r w:rsidRPr="00D3709A">
        <w:rPr>
          <w:rFonts w:ascii="ArialMT" w:hAnsi="ArialMT" w:cs="ArialMT"/>
          <w:szCs w:val="24"/>
        </w:rPr>
        <w:t xml:space="preserve">the </w:t>
      </w:r>
      <w:r w:rsidR="00374A5B">
        <w:rPr>
          <w:rFonts w:ascii="ArialMT" w:hAnsi="ArialMT" w:cs="ArialMT"/>
          <w:szCs w:val="24"/>
        </w:rPr>
        <w:t xml:space="preserve"> </w:t>
      </w:r>
      <w:proofErr w:type="gramEnd"/>
      <w:r w:rsidR="001C31F0">
        <w:rPr>
          <w:rFonts w:ascii="ArialMT" w:hAnsi="ArialMT" w:cs="ArialMT"/>
          <w:szCs w:val="24"/>
        </w:rPr>
        <w:fldChar w:fldCharType="begin"/>
      </w:r>
      <w:r w:rsidR="0060728B">
        <w:rPr>
          <w:rFonts w:ascii="ArialMT" w:hAnsi="ArialMT" w:cs="ArialMT"/>
          <w:szCs w:val="24"/>
        </w:rPr>
        <w:instrText xml:space="preserve"> HYPERLINK "http://www.yourpensionservice.org.uk/web/viewdoc.asp?id=64641" </w:instrText>
      </w:r>
      <w:r w:rsidR="001C31F0">
        <w:rPr>
          <w:rFonts w:ascii="ArialMT" w:hAnsi="ArialMT" w:cs="ArialMT"/>
          <w:szCs w:val="24"/>
        </w:rPr>
        <w:fldChar w:fldCharType="separate"/>
      </w:r>
      <w:r w:rsidR="0060728B" w:rsidRPr="0060728B">
        <w:rPr>
          <w:rStyle w:val="Hyperlink"/>
          <w:rFonts w:ascii="ArialMT" w:hAnsi="ArialMT" w:cs="ArialMT"/>
          <w:szCs w:val="24"/>
        </w:rPr>
        <w:t>Statement of Investment Principles</w:t>
      </w:r>
      <w:r w:rsidR="001C31F0">
        <w:rPr>
          <w:rFonts w:ascii="ArialMT" w:hAnsi="ArialMT" w:cs="ArialMT"/>
          <w:szCs w:val="24"/>
        </w:rPr>
        <w:fldChar w:fldCharType="end"/>
      </w:r>
    </w:p>
    <w:p w:rsidR="009A3AFE" w:rsidRDefault="009A3AFE" w:rsidP="00EB4217">
      <w:pPr>
        <w:autoSpaceDE w:val="0"/>
        <w:autoSpaceDN w:val="0"/>
        <w:adjustRightInd w:val="0"/>
        <w:rPr>
          <w:rFonts w:ascii="ArialMT" w:hAnsi="ArialMT" w:cs="ArialMT"/>
          <w:szCs w:val="24"/>
        </w:rPr>
      </w:pPr>
    </w:p>
    <w:p w:rsidR="00897DBF" w:rsidRDefault="00897DBF">
      <w:pPr>
        <w:autoSpaceDE w:val="0"/>
        <w:autoSpaceDN w:val="0"/>
        <w:adjustRightInd w:val="0"/>
        <w:ind w:right="162"/>
        <w:rPr>
          <w:rFonts w:ascii="ArialMT" w:hAnsi="ArialMT" w:cs="ArialMT"/>
          <w:szCs w:val="24"/>
        </w:rPr>
      </w:pPr>
    </w:p>
    <w:p w:rsidR="009A3AFE" w:rsidRDefault="009A3AFE" w:rsidP="00EB4217">
      <w:pPr>
        <w:autoSpaceDE w:val="0"/>
        <w:autoSpaceDN w:val="0"/>
        <w:adjustRightInd w:val="0"/>
        <w:rPr>
          <w:rFonts w:ascii="ArialMT" w:hAnsi="ArialMT" w:cs="ArialMT"/>
          <w:szCs w:val="24"/>
          <w:highlight w:val="yellow"/>
        </w:rPr>
      </w:pPr>
    </w:p>
    <w:p w:rsidR="00897DBF" w:rsidRDefault="009A3AFE">
      <w:pPr>
        <w:ind w:left="360"/>
        <w:rPr>
          <w:b/>
          <w:sz w:val="28"/>
          <w:szCs w:val="28"/>
        </w:rPr>
      </w:pPr>
      <w:r>
        <w:rPr>
          <w:rFonts w:ascii="ArialMT" w:hAnsi="ArialMT" w:cs="ArialMT"/>
          <w:szCs w:val="24"/>
          <w:highlight w:val="yellow"/>
        </w:rPr>
        <w:br w:type="page"/>
      </w:r>
    </w:p>
    <w:p w:rsidR="00897DBF" w:rsidRDefault="00D14F61">
      <w:pPr>
        <w:numPr>
          <w:ilvl w:val="0"/>
          <w:numId w:val="52"/>
        </w:numPr>
        <w:rPr>
          <w:b/>
          <w:sz w:val="28"/>
          <w:szCs w:val="28"/>
        </w:rPr>
      </w:pPr>
      <w:r>
        <w:rPr>
          <w:b/>
          <w:sz w:val="28"/>
          <w:szCs w:val="28"/>
        </w:rPr>
        <w:t>Accounts of the Fund</w:t>
      </w:r>
    </w:p>
    <w:p w:rsidR="00D14F61" w:rsidRDefault="00D14F61" w:rsidP="00D14F61">
      <w:pPr>
        <w:rPr>
          <w:b/>
          <w:szCs w:val="24"/>
          <w:highlight w:val="yellow"/>
        </w:rPr>
      </w:pPr>
    </w:p>
    <w:p w:rsidR="00D14F61" w:rsidRPr="00166665" w:rsidRDefault="00D14F61" w:rsidP="00D14F61">
      <w:pPr>
        <w:rPr>
          <w:b/>
          <w:szCs w:val="24"/>
        </w:rPr>
      </w:pPr>
      <w:r w:rsidRPr="00166665">
        <w:rPr>
          <w:b/>
          <w:szCs w:val="24"/>
        </w:rPr>
        <w:t>Responsibilities for the Statement of Accounts</w:t>
      </w:r>
    </w:p>
    <w:p w:rsidR="00D14F61" w:rsidRPr="00166665" w:rsidRDefault="00D14F61" w:rsidP="00D14F61">
      <w:pPr>
        <w:rPr>
          <w:szCs w:val="24"/>
        </w:rPr>
      </w:pPr>
    </w:p>
    <w:p w:rsidR="00D14F61" w:rsidRPr="00166665" w:rsidRDefault="00D14F61" w:rsidP="00D14F61">
      <w:pPr>
        <w:pStyle w:val="Heading4"/>
        <w:rPr>
          <w:szCs w:val="24"/>
          <w:u w:val="none"/>
        </w:rPr>
      </w:pPr>
      <w:r w:rsidRPr="00166665">
        <w:rPr>
          <w:szCs w:val="24"/>
          <w:u w:val="none"/>
        </w:rPr>
        <w:t>The Responsibilities of the Administering Authority</w:t>
      </w:r>
    </w:p>
    <w:p w:rsidR="00D14F61" w:rsidRDefault="00D14F61" w:rsidP="00D14F61">
      <w:pPr>
        <w:rPr>
          <w:szCs w:val="24"/>
        </w:rPr>
      </w:pPr>
    </w:p>
    <w:p w:rsidR="00D14F61" w:rsidRPr="00166665" w:rsidRDefault="00D14F61" w:rsidP="00D14F61">
      <w:pPr>
        <w:rPr>
          <w:szCs w:val="24"/>
        </w:rPr>
      </w:pPr>
      <w:r w:rsidRPr="00166665">
        <w:rPr>
          <w:szCs w:val="24"/>
        </w:rPr>
        <w:t>The Administering Authority is required:</w:t>
      </w:r>
    </w:p>
    <w:p w:rsidR="00D14F61" w:rsidRPr="00166665" w:rsidRDefault="00D14F61" w:rsidP="00D14F61">
      <w:pPr>
        <w:rPr>
          <w:szCs w:val="24"/>
        </w:rPr>
      </w:pPr>
    </w:p>
    <w:p w:rsidR="00D14F61" w:rsidRPr="00166665" w:rsidRDefault="00D14F61" w:rsidP="00D14F61">
      <w:pPr>
        <w:numPr>
          <w:ilvl w:val="0"/>
          <w:numId w:val="1"/>
        </w:numPr>
        <w:jc w:val="both"/>
        <w:rPr>
          <w:szCs w:val="24"/>
        </w:rPr>
      </w:pPr>
      <w:r w:rsidRPr="00166665">
        <w:rPr>
          <w:szCs w:val="24"/>
        </w:rPr>
        <w:t xml:space="preserve">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w:t>
      </w:r>
      <w:r>
        <w:rPr>
          <w:szCs w:val="24"/>
        </w:rPr>
        <w:t>County Treasurer</w:t>
      </w:r>
      <w:r w:rsidRPr="00166665">
        <w:rPr>
          <w:szCs w:val="24"/>
        </w:rPr>
        <w:t>, who is also the Treasurer to the Pension Fund;</w:t>
      </w:r>
    </w:p>
    <w:p w:rsidR="00D14F61" w:rsidRPr="00166665" w:rsidRDefault="00D14F61" w:rsidP="00D14F61">
      <w:pPr>
        <w:jc w:val="both"/>
        <w:rPr>
          <w:szCs w:val="24"/>
        </w:rPr>
      </w:pPr>
    </w:p>
    <w:p w:rsidR="00D14F61" w:rsidRPr="00166665" w:rsidRDefault="00D14F61" w:rsidP="00D14F61">
      <w:pPr>
        <w:numPr>
          <w:ilvl w:val="0"/>
          <w:numId w:val="1"/>
        </w:numPr>
        <w:jc w:val="both"/>
        <w:rPr>
          <w:szCs w:val="24"/>
        </w:rPr>
      </w:pPr>
      <w:r w:rsidRPr="00166665">
        <w:rPr>
          <w:szCs w:val="24"/>
        </w:rPr>
        <w:t>To manage its affairs to secure economic, efficient and effective use of resources, and to safeguard its assets.</w:t>
      </w:r>
    </w:p>
    <w:p w:rsidR="00D14F61" w:rsidRPr="00166665" w:rsidRDefault="00D14F61" w:rsidP="00D14F61">
      <w:pPr>
        <w:rPr>
          <w:szCs w:val="24"/>
        </w:rPr>
      </w:pPr>
    </w:p>
    <w:p w:rsidR="00D14F61" w:rsidRPr="00166665" w:rsidRDefault="00D14F61" w:rsidP="00D14F61">
      <w:pPr>
        <w:pStyle w:val="Heading4"/>
        <w:rPr>
          <w:szCs w:val="24"/>
          <w:u w:val="none"/>
        </w:rPr>
      </w:pPr>
      <w:r w:rsidRPr="00166665">
        <w:rPr>
          <w:szCs w:val="24"/>
          <w:u w:val="none"/>
        </w:rPr>
        <w:t>The Responsibilities of the Treasurer to the Pension Fund</w:t>
      </w:r>
    </w:p>
    <w:p w:rsidR="00D14F61" w:rsidRDefault="00D14F61" w:rsidP="00D14F61">
      <w:pPr>
        <w:jc w:val="both"/>
        <w:rPr>
          <w:szCs w:val="24"/>
        </w:rPr>
      </w:pPr>
    </w:p>
    <w:p w:rsidR="00D14F61" w:rsidRPr="00166665" w:rsidRDefault="00D14F61" w:rsidP="00D14F61">
      <w:pPr>
        <w:jc w:val="both"/>
        <w:rPr>
          <w:szCs w:val="24"/>
        </w:rPr>
      </w:pPr>
      <w:r w:rsidRPr="00166665">
        <w:rPr>
          <w:szCs w:val="24"/>
        </w:rPr>
        <w:t>The Treasurer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D14F61" w:rsidRPr="00166665" w:rsidRDefault="00D14F61" w:rsidP="00D14F61">
      <w:pPr>
        <w:rPr>
          <w:szCs w:val="24"/>
        </w:rPr>
      </w:pPr>
    </w:p>
    <w:p w:rsidR="00D14F61" w:rsidRPr="00166665" w:rsidRDefault="00D14F61" w:rsidP="00D14F61">
      <w:pPr>
        <w:rPr>
          <w:szCs w:val="24"/>
        </w:rPr>
      </w:pPr>
      <w:r w:rsidRPr="00166665">
        <w:rPr>
          <w:szCs w:val="24"/>
        </w:rPr>
        <w:t>In preparing this statement of accounts, the Treasurer to the Pension Fund has:</w:t>
      </w:r>
    </w:p>
    <w:p w:rsidR="00D14F61" w:rsidRPr="00166665" w:rsidRDefault="00D14F61" w:rsidP="00D14F61">
      <w:pPr>
        <w:rPr>
          <w:szCs w:val="24"/>
        </w:rPr>
      </w:pPr>
    </w:p>
    <w:p w:rsidR="00D14F61" w:rsidRPr="00166665" w:rsidRDefault="00D14F61" w:rsidP="00D14F61">
      <w:pPr>
        <w:numPr>
          <w:ilvl w:val="0"/>
          <w:numId w:val="1"/>
        </w:numPr>
        <w:rPr>
          <w:szCs w:val="24"/>
        </w:rPr>
      </w:pPr>
      <w:r w:rsidRPr="00166665">
        <w:rPr>
          <w:szCs w:val="24"/>
        </w:rPr>
        <w:t>Selected suitable accounting policies and then applied them consistently;</w:t>
      </w:r>
      <w:r w:rsidRPr="00166665">
        <w:rPr>
          <w:szCs w:val="24"/>
        </w:rPr>
        <w:br/>
      </w:r>
    </w:p>
    <w:p w:rsidR="00D14F61" w:rsidRPr="00166665" w:rsidRDefault="00D14F61" w:rsidP="00D14F61">
      <w:pPr>
        <w:numPr>
          <w:ilvl w:val="0"/>
          <w:numId w:val="1"/>
        </w:numPr>
        <w:rPr>
          <w:szCs w:val="24"/>
        </w:rPr>
      </w:pPr>
      <w:r w:rsidRPr="00166665">
        <w:rPr>
          <w:szCs w:val="24"/>
        </w:rPr>
        <w:t>Made judgements and estimates that were reasonable and prudent;</w:t>
      </w:r>
      <w:r w:rsidRPr="00166665">
        <w:rPr>
          <w:szCs w:val="24"/>
        </w:rPr>
        <w:br/>
      </w:r>
    </w:p>
    <w:p w:rsidR="00D14F61" w:rsidRPr="00166665" w:rsidRDefault="00D14F61" w:rsidP="00D14F61">
      <w:pPr>
        <w:numPr>
          <w:ilvl w:val="0"/>
          <w:numId w:val="1"/>
        </w:numPr>
        <w:rPr>
          <w:szCs w:val="24"/>
        </w:rPr>
      </w:pPr>
      <w:r w:rsidRPr="00166665">
        <w:rPr>
          <w:szCs w:val="24"/>
        </w:rPr>
        <w:t>Complied with the Code.</w:t>
      </w:r>
    </w:p>
    <w:p w:rsidR="00D14F61" w:rsidRPr="00166665" w:rsidRDefault="00D14F61" w:rsidP="00D14F61">
      <w:pPr>
        <w:rPr>
          <w:szCs w:val="24"/>
        </w:rPr>
      </w:pPr>
    </w:p>
    <w:p w:rsidR="00D14F61" w:rsidRPr="00166665" w:rsidRDefault="00D14F61" w:rsidP="00D14F61">
      <w:pPr>
        <w:rPr>
          <w:szCs w:val="24"/>
        </w:rPr>
      </w:pPr>
      <w:r w:rsidRPr="00166665">
        <w:rPr>
          <w:szCs w:val="24"/>
        </w:rPr>
        <w:t>In addition, the Treasurer to the Pension Fund has:</w:t>
      </w:r>
    </w:p>
    <w:p w:rsidR="00D14F61" w:rsidRPr="00166665" w:rsidRDefault="00D14F61" w:rsidP="00D14F61">
      <w:pPr>
        <w:rPr>
          <w:szCs w:val="24"/>
        </w:rPr>
      </w:pPr>
    </w:p>
    <w:p w:rsidR="00D14F61" w:rsidRPr="00166665" w:rsidRDefault="00D14F61" w:rsidP="00D14F61">
      <w:pPr>
        <w:numPr>
          <w:ilvl w:val="0"/>
          <w:numId w:val="1"/>
        </w:numPr>
        <w:rPr>
          <w:szCs w:val="24"/>
        </w:rPr>
      </w:pPr>
      <w:r w:rsidRPr="00166665">
        <w:rPr>
          <w:szCs w:val="24"/>
        </w:rPr>
        <w:t>Kept proper accounting records which were up to date;</w:t>
      </w:r>
    </w:p>
    <w:p w:rsidR="00D14F61" w:rsidRPr="00166665" w:rsidRDefault="00D14F61" w:rsidP="00D14F61">
      <w:pPr>
        <w:pStyle w:val="Header"/>
        <w:rPr>
          <w:szCs w:val="24"/>
        </w:rPr>
      </w:pPr>
    </w:p>
    <w:p w:rsidR="00D14F61" w:rsidRPr="00166665" w:rsidRDefault="00D14F61" w:rsidP="00D14F61">
      <w:pPr>
        <w:numPr>
          <w:ilvl w:val="0"/>
          <w:numId w:val="1"/>
        </w:numPr>
        <w:rPr>
          <w:szCs w:val="24"/>
        </w:rPr>
      </w:pPr>
      <w:r w:rsidRPr="00166665">
        <w:rPr>
          <w:szCs w:val="24"/>
        </w:rPr>
        <w:t>Taken responsible steps for the prevention and detection of fraud and other irregularities.</w:t>
      </w:r>
    </w:p>
    <w:p w:rsidR="00D14F61" w:rsidRPr="00166665" w:rsidRDefault="00D14F61" w:rsidP="00D14F61">
      <w:pPr>
        <w:pStyle w:val="Heading5"/>
        <w:spacing w:line="360" w:lineRule="auto"/>
        <w:jc w:val="center"/>
        <w:rPr>
          <w:rFonts w:ascii="Arial" w:hAnsi="Arial"/>
          <w:szCs w:val="24"/>
        </w:rPr>
      </w:pPr>
    </w:p>
    <w:p w:rsidR="00D14F61" w:rsidRPr="00166665" w:rsidRDefault="00D14F61" w:rsidP="00D14F61">
      <w:pPr>
        <w:rPr>
          <w:szCs w:val="24"/>
        </w:rPr>
      </w:pPr>
      <w:r w:rsidRPr="00166665">
        <w:rPr>
          <w:szCs w:val="24"/>
        </w:rPr>
        <w:t>The Statement of Accounts relate to the financial year ended 31 March 201</w:t>
      </w:r>
      <w:r>
        <w:rPr>
          <w:szCs w:val="24"/>
        </w:rPr>
        <w:t>3</w:t>
      </w:r>
      <w:r w:rsidRPr="00166665">
        <w:rPr>
          <w:szCs w:val="24"/>
        </w:rPr>
        <w:t xml:space="preserve"> and include the Fund Account and the Statement of Net Assets which are prepared in accordance with standard accounting practice as outlined in the notes to the accounts of the Pension Fund.</w:t>
      </w:r>
    </w:p>
    <w:p w:rsidR="00D14F61" w:rsidRPr="00166665" w:rsidRDefault="00D14F61" w:rsidP="00D14F61">
      <w:pPr>
        <w:rPr>
          <w:szCs w:val="24"/>
        </w:rPr>
      </w:pPr>
    </w:p>
    <w:p w:rsidR="00D14F61" w:rsidRDefault="00D14F61" w:rsidP="00D14F61">
      <w:pPr>
        <w:rPr>
          <w:szCs w:val="24"/>
        </w:rPr>
      </w:pPr>
    </w:p>
    <w:p w:rsidR="00D14F61" w:rsidRPr="00166665" w:rsidRDefault="00D14F61" w:rsidP="00D14F61">
      <w:pPr>
        <w:rPr>
          <w:szCs w:val="24"/>
        </w:rPr>
      </w:pPr>
    </w:p>
    <w:p w:rsidR="00F16E3B" w:rsidRDefault="00D14F61" w:rsidP="00D14F61">
      <w:pPr>
        <w:rPr>
          <w:szCs w:val="24"/>
        </w:rPr>
      </w:pPr>
      <w:r>
        <w:rPr>
          <w:szCs w:val="24"/>
        </w:rPr>
        <w:t>Gill Kilpatrick</w:t>
      </w:r>
      <w:r w:rsidRPr="00166665">
        <w:rPr>
          <w:szCs w:val="24"/>
        </w:rPr>
        <w:t xml:space="preserve"> CPFA</w:t>
      </w:r>
    </w:p>
    <w:p w:rsidR="00D14F61" w:rsidRPr="00166665" w:rsidRDefault="00D14F61" w:rsidP="00D14F61">
      <w:pPr>
        <w:rPr>
          <w:szCs w:val="24"/>
        </w:rPr>
      </w:pPr>
      <w:r w:rsidRPr="00166665">
        <w:rPr>
          <w:szCs w:val="24"/>
        </w:rPr>
        <w:t>Treasurer to the Lancashire County Pension Fund</w:t>
      </w:r>
    </w:p>
    <w:p w:rsidR="00D14F61" w:rsidRPr="00166665" w:rsidRDefault="00670114" w:rsidP="00D14F61">
      <w:pPr>
        <w:rPr>
          <w:szCs w:val="24"/>
        </w:rPr>
      </w:pPr>
      <w:r w:rsidRPr="00670114">
        <w:rPr>
          <w:szCs w:val="24"/>
          <w:highlight w:val="yellow"/>
        </w:rPr>
        <w:t>28 June 2013</w:t>
      </w:r>
    </w:p>
    <w:p w:rsidR="002C4AD2" w:rsidRDefault="002C4AD2">
      <w:pPr>
        <w:rPr>
          <w:szCs w:val="24"/>
        </w:rPr>
      </w:pPr>
    </w:p>
    <w:p w:rsidR="00F16E3B" w:rsidRDefault="00F16E3B" w:rsidP="009A3AFE">
      <w:pPr>
        <w:rPr>
          <w:sz w:val="40"/>
          <w:szCs w:val="40"/>
          <w:highlight w:val="yellow"/>
        </w:rPr>
      </w:pPr>
    </w:p>
    <w:p w:rsidR="00B83D57" w:rsidRPr="00F16E3B" w:rsidRDefault="00B83D57" w:rsidP="009A3AFE">
      <w:pPr>
        <w:rPr>
          <w:sz w:val="40"/>
          <w:szCs w:val="40"/>
        </w:rPr>
      </w:pPr>
    </w:p>
    <w:p w:rsidR="00B83D57" w:rsidRPr="003922F7" w:rsidRDefault="00B83D57" w:rsidP="00B83D57">
      <w:pPr>
        <w:rPr>
          <w:rStyle w:val="Bodytextemphasised"/>
        </w:rPr>
      </w:pPr>
      <w:r w:rsidRPr="003922F7">
        <w:rPr>
          <w:rStyle w:val="Bodytextemphasised"/>
        </w:rPr>
        <w:t xml:space="preserve">INDEPENDENT AUDITOR’S REPORT TO THE MEMBERS OF </w:t>
      </w:r>
      <w:smartTag w:uri="urn:schemas-microsoft-com:office:smarttags" w:element="place">
        <w:r w:rsidRPr="003922F7">
          <w:rPr>
            <w:rStyle w:val="Bodytextemphasised"/>
          </w:rPr>
          <w:t>LANCASHIRE</w:t>
        </w:r>
      </w:smartTag>
      <w:r w:rsidRPr="003922F7">
        <w:rPr>
          <w:rStyle w:val="Bodytextemphasised"/>
        </w:rPr>
        <w:t xml:space="preserve"> COUNTY COUNCIL</w:t>
      </w: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EB0E2C" w:rsidRDefault="00EB0E2C" w:rsidP="00B83D57">
      <w:pPr>
        <w:rPr>
          <w:b/>
          <w:highlight w:val="yellow"/>
        </w:rPr>
      </w:pPr>
    </w:p>
    <w:p w:rsidR="00F16E3B" w:rsidRPr="005364C6" w:rsidRDefault="00EB0E2C" w:rsidP="00F16E3B">
      <w:pPr>
        <w:jc w:val="center"/>
        <w:rPr>
          <w:rFonts w:cs="Arial"/>
          <w:b/>
          <w:bCs/>
          <w:color w:val="000000"/>
          <w:sz w:val="26"/>
          <w:szCs w:val="22"/>
        </w:rPr>
      </w:pPr>
      <w:r>
        <w:rPr>
          <w:rFonts w:cs="Arial"/>
          <w:b/>
          <w:bCs/>
          <w:color w:val="000000"/>
          <w:sz w:val="26"/>
          <w:szCs w:val="22"/>
        </w:rPr>
        <w:lastRenderedPageBreak/>
        <w:t>Fu</w:t>
      </w:r>
      <w:r w:rsidR="00F16E3B" w:rsidRPr="005364C6">
        <w:rPr>
          <w:rFonts w:cs="Arial"/>
          <w:b/>
          <w:bCs/>
          <w:color w:val="000000"/>
          <w:sz w:val="26"/>
          <w:szCs w:val="22"/>
        </w:rPr>
        <w:t>nd Account</w:t>
      </w:r>
    </w:p>
    <w:p w:rsidR="00F16E3B" w:rsidRDefault="00F16E3B" w:rsidP="00F16E3B">
      <w:pPr>
        <w:pStyle w:val="Heading5"/>
        <w:spacing w:line="360" w:lineRule="auto"/>
        <w:jc w:val="center"/>
        <w:rPr>
          <w:rFonts w:ascii="Arial" w:hAnsi="Arial"/>
          <w:szCs w:val="24"/>
          <w:u w:val="none"/>
        </w:rPr>
      </w:pPr>
    </w:p>
    <w:p w:rsidR="00F16E3B" w:rsidRPr="00C142FC" w:rsidRDefault="00F16E3B" w:rsidP="00F16E3B"/>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1"/>
        <w:gridCol w:w="142"/>
        <w:gridCol w:w="328"/>
        <w:gridCol w:w="1652"/>
        <w:gridCol w:w="142"/>
        <w:gridCol w:w="328"/>
        <w:gridCol w:w="1088"/>
        <w:gridCol w:w="142"/>
        <w:gridCol w:w="287"/>
        <w:gridCol w:w="41"/>
        <w:gridCol w:w="101"/>
        <w:gridCol w:w="328"/>
        <w:gridCol w:w="1084"/>
        <w:gridCol w:w="142"/>
        <w:gridCol w:w="328"/>
      </w:tblGrid>
      <w:tr w:rsidR="00F16E3B" w:rsidTr="008E1E86">
        <w:tc>
          <w:tcPr>
            <w:tcW w:w="4201" w:type="dxa"/>
            <w:gridSpan w:val="3"/>
          </w:tcPr>
          <w:p w:rsidR="00F16E3B" w:rsidRDefault="00F16E3B" w:rsidP="00F16E3B">
            <w:pPr>
              <w:rPr>
                <w:b/>
                <w:szCs w:val="24"/>
              </w:rPr>
            </w:pPr>
          </w:p>
          <w:p w:rsidR="00F16E3B" w:rsidRDefault="00F16E3B" w:rsidP="00F16E3B">
            <w:pPr>
              <w:jc w:val="right"/>
              <w:rPr>
                <w:b/>
                <w:szCs w:val="24"/>
              </w:rPr>
            </w:pPr>
          </w:p>
        </w:tc>
        <w:tc>
          <w:tcPr>
            <w:tcW w:w="2122" w:type="dxa"/>
            <w:gridSpan w:val="3"/>
          </w:tcPr>
          <w:p w:rsidR="00F16E3B" w:rsidRDefault="00F16E3B" w:rsidP="00F16E3B">
            <w:pPr>
              <w:rPr>
                <w:b/>
                <w:szCs w:val="24"/>
              </w:rPr>
            </w:pPr>
          </w:p>
          <w:p w:rsidR="00897DBF" w:rsidRDefault="00F16E3B">
            <w:pPr>
              <w:ind w:left="-57" w:right="1086" w:firstLine="57"/>
              <w:jc w:val="center"/>
              <w:rPr>
                <w:b/>
                <w:szCs w:val="24"/>
              </w:rPr>
            </w:pPr>
            <w:r>
              <w:rPr>
                <w:b/>
                <w:szCs w:val="24"/>
              </w:rPr>
              <w:t>Note</w:t>
            </w:r>
          </w:p>
        </w:tc>
        <w:tc>
          <w:tcPr>
            <w:tcW w:w="1558" w:type="dxa"/>
            <w:gridSpan w:val="4"/>
          </w:tcPr>
          <w:p w:rsidR="00F16E3B" w:rsidRDefault="00F16E3B" w:rsidP="0011110D">
            <w:pPr>
              <w:ind w:right="260"/>
              <w:jc w:val="right"/>
              <w:rPr>
                <w:b/>
                <w:szCs w:val="24"/>
              </w:rPr>
            </w:pPr>
            <w:r>
              <w:rPr>
                <w:b/>
                <w:szCs w:val="24"/>
              </w:rPr>
              <w:t>2012/13</w:t>
            </w:r>
          </w:p>
          <w:p w:rsidR="00F16E3B" w:rsidRDefault="00F16E3B" w:rsidP="0011110D">
            <w:pPr>
              <w:ind w:right="260"/>
              <w:jc w:val="right"/>
              <w:rPr>
                <w:b/>
                <w:szCs w:val="24"/>
              </w:rPr>
            </w:pPr>
            <w:r>
              <w:rPr>
                <w:b/>
                <w:szCs w:val="24"/>
              </w:rPr>
              <w:t>£m</w:t>
            </w:r>
          </w:p>
        </w:tc>
        <w:tc>
          <w:tcPr>
            <w:tcW w:w="429" w:type="dxa"/>
            <w:gridSpan w:val="2"/>
            <w:tcBorders>
              <w:right w:val="single" w:sz="4" w:space="0" w:color="FFFFFF" w:themeColor="background1"/>
            </w:tcBorders>
          </w:tcPr>
          <w:p w:rsidR="00F16E3B" w:rsidRDefault="00F16E3B" w:rsidP="00F16E3B">
            <w:pPr>
              <w:jc w:val="right"/>
              <w:rPr>
                <w:b/>
                <w:szCs w:val="24"/>
              </w:rPr>
            </w:pPr>
          </w:p>
          <w:p w:rsidR="00F16E3B" w:rsidRDefault="00F16E3B" w:rsidP="00F16E3B">
            <w:pPr>
              <w:jc w:val="right"/>
              <w:rPr>
                <w:b/>
                <w:szCs w:val="24"/>
              </w:rPr>
            </w:pPr>
          </w:p>
        </w:tc>
        <w:tc>
          <w:tcPr>
            <w:tcW w:w="1554" w:type="dxa"/>
            <w:gridSpan w:val="3"/>
            <w:tcBorders>
              <w:left w:val="single" w:sz="4" w:space="0" w:color="FFFFFF" w:themeColor="background1"/>
            </w:tcBorders>
          </w:tcPr>
          <w:p w:rsidR="00F16E3B" w:rsidRDefault="00F16E3B" w:rsidP="0011110D">
            <w:pPr>
              <w:ind w:right="259"/>
              <w:jc w:val="right"/>
              <w:rPr>
                <w:b/>
                <w:szCs w:val="24"/>
              </w:rPr>
            </w:pPr>
            <w:r>
              <w:rPr>
                <w:b/>
                <w:szCs w:val="24"/>
              </w:rPr>
              <w:t>2011/12</w:t>
            </w:r>
          </w:p>
          <w:p w:rsidR="00F16E3B" w:rsidRDefault="00F16E3B" w:rsidP="0011110D">
            <w:pPr>
              <w:ind w:right="259"/>
              <w:jc w:val="right"/>
              <w:rPr>
                <w:b/>
                <w:szCs w:val="24"/>
              </w:rPr>
            </w:pPr>
            <w:r>
              <w:rPr>
                <w:b/>
                <w:szCs w:val="24"/>
              </w:rPr>
              <w:t>£m</w:t>
            </w:r>
          </w:p>
          <w:p w:rsidR="00F16E3B" w:rsidRDefault="00F16E3B" w:rsidP="00F16E3B">
            <w:pPr>
              <w:jc w:val="right"/>
              <w:rPr>
                <w:b/>
                <w:szCs w:val="24"/>
              </w:rPr>
            </w:pPr>
          </w:p>
        </w:tc>
      </w:tr>
      <w:tr w:rsidR="00F16E3B" w:rsidRPr="009643EB" w:rsidTr="008E1E86">
        <w:trPr>
          <w:gridAfter w:val="2"/>
          <w:wAfter w:w="470" w:type="dxa"/>
        </w:trPr>
        <w:tc>
          <w:tcPr>
            <w:tcW w:w="3731" w:type="dxa"/>
          </w:tcPr>
          <w:p w:rsidR="00897DBF" w:rsidRDefault="00F16E3B">
            <w:pPr>
              <w:spacing w:after="120"/>
              <w:ind w:left="-108"/>
              <w:rPr>
                <w:b/>
                <w:szCs w:val="24"/>
              </w:rPr>
            </w:pPr>
            <w:r>
              <w:rPr>
                <w:b/>
                <w:szCs w:val="24"/>
              </w:rPr>
              <w:t>Dealing with members, employers and others directly involved in the fund</w:t>
            </w:r>
          </w:p>
        </w:tc>
        <w:tc>
          <w:tcPr>
            <w:tcW w:w="2122" w:type="dxa"/>
            <w:gridSpan w:val="3"/>
          </w:tcPr>
          <w:p w:rsidR="00F16E3B" w:rsidRPr="009643EB" w:rsidRDefault="00F16E3B" w:rsidP="00F16E3B">
            <w:pPr>
              <w:spacing w:after="120"/>
              <w:jc w:val="right"/>
              <w:rPr>
                <w:szCs w:val="24"/>
              </w:rPr>
            </w:pPr>
          </w:p>
        </w:tc>
        <w:tc>
          <w:tcPr>
            <w:tcW w:w="1558" w:type="dxa"/>
            <w:gridSpan w:val="3"/>
          </w:tcPr>
          <w:p w:rsidR="00F16E3B" w:rsidRPr="009643EB" w:rsidRDefault="00F16E3B" w:rsidP="00F16E3B">
            <w:pPr>
              <w:spacing w:after="120"/>
              <w:jc w:val="right"/>
              <w:rPr>
                <w:szCs w:val="24"/>
              </w:rPr>
            </w:pPr>
          </w:p>
        </w:tc>
        <w:tc>
          <w:tcPr>
            <w:tcW w:w="429" w:type="dxa"/>
            <w:gridSpan w:val="2"/>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4"/>
            <w:tcBorders>
              <w:left w:val="single" w:sz="4" w:space="0" w:color="FFFFFF" w:themeColor="background1"/>
            </w:tcBorders>
          </w:tcPr>
          <w:p w:rsidR="00F16E3B" w:rsidRPr="009643EB" w:rsidRDefault="00F16E3B" w:rsidP="00F16E3B">
            <w:pPr>
              <w:spacing w:after="120"/>
              <w:jc w:val="right"/>
              <w:rPr>
                <w:szCs w:val="24"/>
              </w:rPr>
            </w:pPr>
          </w:p>
        </w:tc>
      </w:tr>
      <w:tr w:rsidR="00F16E3B" w:rsidRPr="009643EB" w:rsidTr="008E1E86">
        <w:trPr>
          <w:gridAfter w:val="1"/>
          <w:wAfter w:w="328" w:type="dxa"/>
        </w:trPr>
        <w:tc>
          <w:tcPr>
            <w:tcW w:w="3873" w:type="dxa"/>
            <w:gridSpan w:val="2"/>
          </w:tcPr>
          <w:p w:rsidR="00897DBF" w:rsidRDefault="00F16E3B">
            <w:pPr>
              <w:spacing w:after="120"/>
              <w:ind w:left="-108"/>
              <w:rPr>
                <w:szCs w:val="24"/>
              </w:rPr>
            </w:pPr>
            <w:r>
              <w:rPr>
                <w:szCs w:val="24"/>
              </w:rPr>
              <w:t>Contributions</w:t>
            </w:r>
          </w:p>
        </w:tc>
        <w:tc>
          <w:tcPr>
            <w:tcW w:w="2122" w:type="dxa"/>
            <w:gridSpan w:val="3"/>
          </w:tcPr>
          <w:p w:rsidR="00897DBF" w:rsidRDefault="00F16E3B">
            <w:pPr>
              <w:tabs>
                <w:tab w:val="left" w:pos="1026"/>
              </w:tabs>
              <w:spacing w:after="120"/>
              <w:ind w:left="697" w:right="359" w:hanging="697"/>
              <w:jc w:val="center"/>
              <w:rPr>
                <w:szCs w:val="24"/>
              </w:rPr>
            </w:pPr>
            <w:r>
              <w:rPr>
                <w:szCs w:val="24"/>
              </w:rPr>
              <w:t>6</w:t>
            </w:r>
          </w:p>
        </w:tc>
        <w:tc>
          <w:tcPr>
            <w:tcW w:w="1558" w:type="dxa"/>
            <w:gridSpan w:val="3"/>
          </w:tcPr>
          <w:p w:rsidR="00F16E3B" w:rsidRPr="009643EB" w:rsidRDefault="00F16E3B" w:rsidP="00F16E3B">
            <w:pPr>
              <w:spacing w:after="120"/>
              <w:jc w:val="right"/>
              <w:rPr>
                <w:szCs w:val="24"/>
              </w:rPr>
            </w:pPr>
            <w:r>
              <w:rPr>
                <w:szCs w:val="24"/>
              </w:rPr>
              <w:t>202.7</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left w:val="single" w:sz="4" w:space="0" w:color="FFFFFF" w:themeColor="background1"/>
            </w:tcBorders>
          </w:tcPr>
          <w:p w:rsidR="00F16E3B" w:rsidRPr="009643EB" w:rsidRDefault="00F16E3B" w:rsidP="00F16E3B">
            <w:pPr>
              <w:spacing w:after="120"/>
              <w:jc w:val="right"/>
              <w:rPr>
                <w:szCs w:val="24"/>
              </w:rPr>
            </w:pPr>
            <w:r>
              <w:rPr>
                <w:szCs w:val="24"/>
              </w:rPr>
              <w:t>209.3</w:t>
            </w:r>
          </w:p>
        </w:tc>
      </w:tr>
      <w:tr w:rsidR="00F16E3B" w:rsidRPr="009643EB" w:rsidTr="008E1E86">
        <w:trPr>
          <w:gridAfter w:val="1"/>
          <w:wAfter w:w="328" w:type="dxa"/>
        </w:trPr>
        <w:tc>
          <w:tcPr>
            <w:tcW w:w="3873" w:type="dxa"/>
            <w:gridSpan w:val="2"/>
          </w:tcPr>
          <w:p w:rsidR="00897DBF" w:rsidRDefault="00F16E3B">
            <w:pPr>
              <w:spacing w:after="120"/>
              <w:ind w:left="-108"/>
              <w:rPr>
                <w:szCs w:val="24"/>
              </w:rPr>
            </w:pPr>
            <w:r>
              <w:rPr>
                <w:szCs w:val="24"/>
              </w:rPr>
              <w:t>Transfers in</w:t>
            </w:r>
          </w:p>
        </w:tc>
        <w:tc>
          <w:tcPr>
            <w:tcW w:w="2122" w:type="dxa"/>
            <w:gridSpan w:val="3"/>
          </w:tcPr>
          <w:p w:rsidR="00897DBF" w:rsidRDefault="00F16E3B">
            <w:pPr>
              <w:tabs>
                <w:tab w:val="left" w:pos="1026"/>
              </w:tabs>
              <w:spacing w:after="120"/>
              <w:ind w:left="697" w:right="359" w:hanging="697"/>
              <w:jc w:val="center"/>
              <w:rPr>
                <w:szCs w:val="24"/>
              </w:rPr>
            </w:pPr>
            <w:r>
              <w:rPr>
                <w:szCs w:val="24"/>
              </w:rPr>
              <w:t>7</w:t>
            </w:r>
          </w:p>
        </w:tc>
        <w:tc>
          <w:tcPr>
            <w:tcW w:w="1558" w:type="dxa"/>
            <w:gridSpan w:val="3"/>
            <w:tcBorders>
              <w:bottom w:val="single" w:sz="18" w:space="0" w:color="auto"/>
            </w:tcBorders>
          </w:tcPr>
          <w:p w:rsidR="00F16E3B" w:rsidRPr="009643EB" w:rsidRDefault="00F16E3B" w:rsidP="00F16E3B">
            <w:pPr>
              <w:spacing w:after="120"/>
              <w:jc w:val="right"/>
              <w:rPr>
                <w:szCs w:val="24"/>
              </w:rPr>
            </w:pPr>
            <w:r>
              <w:rPr>
                <w:szCs w:val="24"/>
              </w:rPr>
              <w:t>9.9</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left w:val="single" w:sz="4" w:space="0" w:color="FFFFFF" w:themeColor="background1"/>
              <w:bottom w:val="single" w:sz="18" w:space="0" w:color="auto"/>
            </w:tcBorders>
          </w:tcPr>
          <w:p w:rsidR="00F16E3B" w:rsidRDefault="00F16E3B" w:rsidP="00F16E3B">
            <w:pPr>
              <w:spacing w:after="120"/>
              <w:jc w:val="right"/>
              <w:rPr>
                <w:szCs w:val="24"/>
              </w:rPr>
            </w:pPr>
            <w:r>
              <w:rPr>
                <w:szCs w:val="24"/>
              </w:rPr>
              <w:t>11.1</w:t>
            </w:r>
          </w:p>
        </w:tc>
      </w:tr>
      <w:tr w:rsidR="00F16E3B" w:rsidRPr="009643EB" w:rsidTr="008E1E86">
        <w:trPr>
          <w:gridAfter w:val="1"/>
          <w:wAfter w:w="328" w:type="dxa"/>
        </w:trPr>
        <w:tc>
          <w:tcPr>
            <w:tcW w:w="3873" w:type="dxa"/>
            <w:gridSpan w:val="2"/>
          </w:tcPr>
          <w:p w:rsidR="00897DBF" w:rsidRDefault="00897DBF">
            <w:pPr>
              <w:spacing w:after="120"/>
              <w:ind w:left="-108"/>
              <w:rPr>
                <w:szCs w:val="24"/>
              </w:rPr>
            </w:pPr>
          </w:p>
        </w:tc>
        <w:tc>
          <w:tcPr>
            <w:tcW w:w="2122" w:type="dxa"/>
            <w:gridSpan w:val="3"/>
          </w:tcPr>
          <w:p w:rsidR="00897DBF" w:rsidRDefault="00897DBF">
            <w:pPr>
              <w:spacing w:after="120"/>
              <w:ind w:left="697" w:right="359" w:hanging="697"/>
              <w:jc w:val="right"/>
              <w:rPr>
                <w:szCs w:val="24"/>
              </w:rPr>
            </w:pPr>
          </w:p>
        </w:tc>
        <w:tc>
          <w:tcPr>
            <w:tcW w:w="1558" w:type="dxa"/>
            <w:gridSpan w:val="3"/>
            <w:tcBorders>
              <w:top w:val="single" w:sz="18" w:space="0" w:color="auto"/>
              <w:bottom w:val="single" w:sz="18" w:space="0" w:color="auto"/>
            </w:tcBorders>
          </w:tcPr>
          <w:p w:rsidR="00F16E3B" w:rsidRPr="009643EB" w:rsidRDefault="00F16E3B" w:rsidP="00F16E3B">
            <w:pPr>
              <w:spacing w:after="120"/>
              <w:jc w:val="right"/>
              <w:rPr>
                <w:szCs w:val="24"/>
              </w:rPr>
            </w:pPr>
            <w:r>
              <w:rPr>
                <w:szCs w:val="24"/>
              </w:rPr>
              <w:t>212.6</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top w:val="single" w:sz="18" w:space="0" w:color="auto"/>
              <w:left w:val="single" w:sz="4" w:space="0" w:color="FFFFFF" w:themeColor="background1"/>
              <w:bottom w:val="single" w:sz="18" w:space="0" w:color="auto"/>
            </w:tcBorders>
          </w:tcPr>
          <w:p w:rsidR="00F16E3B" w:rsidRDefault="00F16E3B" w:rsidP="00F16E3B">
            <w:pPr>
              <w:spacing w:after="120"/>
              <w:jc w:val="right"/>
              <w:rPr>
                <w:szCs w:val="24"/>
              </w:rPr>
            </w:pPr>
            <w:r>
              <w:rPr>
                <w:szCs w:val="24"/>
              </w:rPr>
              <w:t>220.4</w:t>
            </w:r>
          </w:p>
        </w:tc>
      </w:tr>
      <w:tr w:rsidR="00F16E3B" w:rsidRPr="009643EB" w:rsidTr="008E1E86">
        <w:trPr>
          <w:gridAfter w:val="1"/>
          <w:wAfter w:w="328" w:type="dxa"/>
        </w:trPr>
        <w:tc>
          <w:tcPr>
            <w:tcW w:w="3873" w:type="dxa"/>
            <w:gridSpan w:val="2"/>
          </w:tcPr>
          <w:p w:rsidR="00897DBF" w:rsidRDefault="00897DBF">
            <w:pPr>
              <w:spacing w:after="120"/>
              <w:ind w:left="-108"/>
              <w:rPr>
                <w:szCs w:val="24"/>
              </w:rPr>
            </w:pPr>
          </w:p>
          <w:p w:rsidR="00897DBF" w:rsidRDefault="00F16E3B">
            <w:pPr>
              <w:spacing w:after="120"/>
              <w:ind w:left="-108"/>
              <w:rPr>
                <w:szCs w:val="24"/>
              </w:rPr>
            </w:pPr>
            <w:r>
              <w:rPr>
                <w:szCs w:val="24"/>
              </w:rPr>
              <w:t>Benefits</w:t>
            </w:r>
          </w:p>
        </w:tc>
        <w:tc>
          <w:tcPr>
            <w:tcW w:w="2122" w:type="dxa"/>
            <w:gridSpan w:val="3"/>
          </w:tcPr>
          <w:p w:rsidR="00897DBF" w:rsidRDefault="00897DBF">
            <w:pPr>
              <w:tabs>
                <w:tab w:val="left" w:pos="1026"/>
              </w:tabs>
              <w:spacing w:after="120"/>
              <w:ind w:left="697" w:right="359" w:hanging="697"/>
              <w:jc w:val="center"/>
              <w:rPr>
                <w:szCs w:val="24"/>
              </w:rPr>
            </w:pPr>
          </w:p>
          <w:p w:rsidR="00897DBF" w:rsidRDefault="00F16E3B">
            <w:pPr>
              <w:tabs>
                <w:tab w:val="left" w:pos="1026"/>
              </w:tabs>
              <w:spacing w:after="120"/>
              <w:ind w:left="697" w:right="359" w:hanging="697"/>
              <w:jc w:val="center"/>
              <w:rPr>
                <w:szCs w:val="24"/>
              </w:rPr>
            </w:pPr>
            <w:r>
              <w:rPr>
                <w:szCs w:val="24"/>
              </w:rPr>
              <w:t>8</w:t>
            </w:r>
          </w:p>
        </w:tc>
        <w:tc>
          <w:tcPr>
            <w:tcW w:w="1558" w:type="dxa"/>
            <w:gridSpan w:val="3"/>
            <w:tcBorders>
              <w:top w:val="single" w:sz="18" w:space="0" w:color="auto"/>
            </w:tcBorders>
          </w:tcPr>
          <w:p w:rsidR="0051624A" w:rsidRDefault="0051624A" w:rsidP="00F16E3B">
            <w:pPr>
              <w:spacing w:after="120"/>
              <w:jc w:val="right"/>
              <w:rPr>
                <w:szCs w:val="24"/>
              </w:rPr>
            </w:pPr>
          </w:p>
          <w:p w:rsidR="00F16E3B" w:rsidRPr="009643EB" w:rsidRDefault="00F16E3B" w:rsidP="00F16E3B">
            <w:pPr>
              <w:spacing w:after="120"/>
              <w:jc w:val="right"/>
              <w:rPr>
                <w:szCs w:val="24"/>
              </w:rPr>
            </w:pPr>
            <w:r>
              <w:rPr>
                <w:szCs w:val="24"/>
              </w:rPr>
              <w:t>(210.2)</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top w:val="single" w:sz="18" w:space="0" w:color="auto"/>
              <w:left w:val="single" w:sz="4" w:space="0" w:color="FFFFFF" w:themeColor="background1"/>
            </w:tcBorders>
          </w:tcPr>
          <w:p w:rsidR="0051624A" w:rsidRDefault="0051624A" w:rsidP="00F16E3B">
            <w:pPr>
              <w:spacing w:after="120"/>
              <w:jc w:val="right"/>
              <w:rPr>
                <w:szCs w:val="24"/>
              </w:rPr>
            </w:pPr>
          </w:p>
          <w:p w:rsidR="00F16E3B" w:rsidRDefault="00F16E3B" w:rsidP="00F16E3B">
            <w:pPr>
              <w:spacing w:after="120"/>
              <w:jc w:val="right"/>
              <w:rPr>
                <w:szCs w:val="24"/>
              </w:rPr>
            </w:pPr>
            <w:r>
              <w:rPr>
                <w:szCs w:val="24"/>
              </w:rPr>
              <w:t>(219.1)</w:t>
            </w:r>
          </w:p>
        </w:tc>
      </w:tr>
      <w:tr w:rsidR="00F16E3B" w:rsidRPr="009643EB" w:rsidTr="008E1E86">
        <w:trPr>
          <w:gridAfter w:val="1"/>
          <w:wAfter w:w="328" w:type="dxa"/>
        </w:trPr>
        <w:tc>
          <w:tcPr>
            <w:tcW w:w="3873" w:type="dxa"/>
            <w:gridSpan w:val="2"/>
          </w:tcPr>
          <w:p w:rsidR="00897DBF" w:rsidRDefault="00F16E3B">
            <w:pPr>
              <w:spacing w:after="120"/>
              <w:ind w:left="-108"/>
              <w:rPr>
                <w:szCs w:val="24"/>
              </w:rPr>
            </w:pPr>
            <w:r>
              <w:rPr>
                <w:szCs w:val="24"/>
              </w:rPr>
              <w:t>Payments to and on account of leavers</w:t>
            </w:r>
          </w:p>
          <w:p w:rsidR="00897DBF" w:rsidRDefault="00F16E3B">
            <w:pPr>
              <w:spacing w:after="120"/>
              <w:ind w:left="-108"/>
              <w:rPr>
                <w:szCs w:val="24"/>
              </w:rPr>
            </w:pPr>
            <w:r>
              <w:rPr>
                <w:szCs w:val="24"/>
              </w:rPr>
              <w:t xml:space="preserve">Administrative expenses       </w:t>
            </w:r>
          </w:p>
          <w:p w:rsidR="00897DBF" w:rsidRDefault="00897DBF">
            <w:pPr>
              <w:spacing w:after="120"/>
              <w:ind w:left="-108"/>
              <w:rPr>
                <w:szCs w:val="24"/>
              </w:rPr>
            </w:pPr>
          </w:p>
        </w:tc>
        <w:tc>
          <w:tcPr>
            <w:tcW w:w="2122" w:type="dxa"/>
            <w:gridSpan w:val="3"/>
          </w:tcPr>
          <w:p w:rsidR="00897DBF" w:rsidRDefault="00F16E3B">
            <w:pPr>
              <w:tabs>
                <w:tab w:val="left" w:pos="1026"/>
              </w:tabs>
              <w:spacing w:after="120"/>
              <w:ind w:left="697" w:right="359" w:hanging="697"/>
              <w:jc w:val="center"/>
              <w:rPr>
                <w:szCs w:val="24"/>
              </w:rPr>
            </w:pPr>
            <w:r>
              <w:rPr>
                <w:szCs w:val="24"/>
              </w:rPr>
              <w:t>9</w:t>
            </w:r>
          </w:p>
          <w:p w:rsidR="00897DBF" w:rsidRDefault="00897DBF">
            <w:pPr>
              <w:tabs>
                <w:tab w:val="left" w:pos="1026"/>
              </w:tabs>
              <w:spacing w:after="120"/>
              <w:ind w:left="697" w:right="359" w:hanging="697"/>
              <w:jc w:val="center"/>
              <w:rPr>
                <w:szCs w:val="24"/>
              </w:rPr>
            </w:pPr>
          </w:p>
          <w:p w:rsidR="00897DBF" w:rsidRDefault="00F16E3B">
            <w:pPr>
              <w:tabs>
                <w:tab w:val="left" w:pos="1026"/>
              </w:tabs>
              <w:spacing w:after="120"/>
              <w:ind w:left="697" w:right="359" w:hanging="697"/>
              <w:jc w:val="center"/>
              <w:rPr>
                <w:szCs w:val="24"/>
              </w:rPr>
            </w:pPr>
            <w:r>
              <w:rPr>
                <w:szCs w:val="24"/>
              </w:rPr>
              <w:t>10</w:t>
            </w:r>
          </w:p>
        </w:tc>
        <w:tc>
          <w:tcPr>
            <w:tcW w:w="1558" w:type="dxa"/>
            <w:gridSpan w:val="3"/>
            <w:tcBorders>
              <w:bottom w:val="single" w:sz="18" w:space="0" w:color="auto"/>
            </w:tcBorders>
          </w:tcPr>
          <w:p w:rsidR="00F16E3B" w:rsidRDefault="00F16E3B" w:rsidP="00F16E3B">
            <w:pPr>
              <w:jc w:val="right"/>
              <w:rPr>
                <w:szCs w:val="24"/>
              </w:rPr>
            </w:pPr>
            <w:r>
              <w:rPr>
                <w:szCs w:val="24"/>
              </w:rPr>
              <w:t>(12.6)</w:t>
            </w:r>
          </w:p>
          <w:p w:rsidR="00F16E3B" w:rsidRDefault="00F16E3B" w:rsidP="00F16E3B">
            <w:pPr>
              <w:jc w:val="right"/>
              <w:rPr>
                <w:szCs w:val="24"/>
              </w:rPr>
            </w:pPr>
          </w:p>
          <w:p w:rsidR="00F16E3B" w:rsidRDefault="00F16E3B" w:rsidP="00F16E3B">
            <w:pPr>
              <w:jc w:val="right"/>
              <w:rPr>
                <w:szCs w:val="24"/>
              </w:rPr>
            </w:pPr>
          </w:p>
          <w:p w:rsidR="00F16E3B" w:rsidRPr="009643EB" w:rsidRDefault="00F16E3B" w:rsidP="00F16E3B">
            <w:pPr>
              <w:jc w:val="right"/>
              <w:rPr>
                <w:szCs w:val="24"/>
              </w:rPr>
            </w:pPr>
            <w:r>
              <w:rPr>
                <w:szCs w:val="24"/>
              </w:rPr>
              <w:t>(5.6)</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left w:val="single" w:sz="4" w:space="0" w:color="FFFFFF" w:themeColor="background1"/>
              <w:bottom w:val="single" w:sz="18" w:space="0" w:color="auto"/>
            </w:tcBorders>
          </w:tcPr>
          <w:p w:rsidR="00F16E3B" w:rsidRDefault="00F16E3B" w:rsidP="00F16E3B">
            <w:pPr>
              <w:jc w:val="right"/>
              <w:rPr>
                <w:szCs w:val="24"/>
              </w:rPr>
            </w:pPr>
            <w:r>
              <w:rPr>
                <w:szCs w:val="24"/>
              </w:rPr>
              <w:t>(13.7)</w:t>
            </w:r>
          </w:p>
          <w:p w:rsidR="00F16E3B" w:rsidRDefault="00F16E3B" w:rsidP="00F16E3B">
            <w:pPr>
              <w:jc w:val="right"/>
              <w:rPr>
                <w:szCs w:val="24"/>
              </w:rPr>
            </w:pPr>
          </w:p>
          <w:p w:rsidR="00F16E3B" w:rsidRDefault="00F16E3B" w:rsidP="00F16E3B">
            <w:pPr>
              <w:jc w:val="right"/>
              <w:rPr>
                <w:szCs w:val="24"/>
              </w:rPr>
            </w:pPr>
          </w:p>
          <w:p w:rsidR="00F16E3B" w:rsidRDefault="00F16E3B" w:rsidP="00F16E3B">
            <w:pPr>
              <w:jc w:val="right"/>
              <w:rPr>
                <w:szCs w:val="24"/>
              </w:rPr>
            </w:pPr>
            <w:r>
              <w:rPr>
                <w:szCs w:val="24"/>
              </w:rPr>
              <w:t>(3.8)</w:t>
            </w:r>
          </w:p>
        </w:tc>
      </w:tr>
      <w:tr w:rsidR="00F16E3B" w:rsidRPr="009643EB" w:rsidTr="0011110D">
        <w:trPr>
          <w:gridAfter w:val="1"/>
          <w:wAfter w:w="328" w:type="dxa"/>
        </w:trPr>
        <w:tc>
          <w:tcPr>
            <w:tcW w:w="4201" w:type="dxa"/>
            <w:gridSpan w:val="3"/>
          </w:tcPr>
          <w:p w:rsidR="00F16E3B" w:rsidRDefault="00F16E3B" w:rsidP="00F16E3B">
            <w:pPr>
              <w:spacing w:after="120"/>
              <w:rPr>
                <w:szCs w:val="24"/>
              </w:rPr>
            </w:pPr>
          </w:p>
        </w:tc>
        <w:tc>
          <w:tcPr>
            <w:tcW w:w="1794" w:type="dxa"/>
            <w:gridSpan w:val="2"/>
          </w:tcPr>
          <w:p w:rsidR="00F16E3B" w:rsidRDefault="00F16E3B" w:rsidP="00F16E3B">
            <w:pPr>
              <w:spacing w:after="120"/>
              <w:jc w:val="right"/>
              <w:rPr>
                <w:szCs w:val="24"/>
              </w:rPr>
            </w:pPr>
          </w:p>
        </w:tc>
        <w:tc>
          <w:tcPr>
            <w:tcW w:w="1558" w:type="dxa"/>
            <w:gridSpan w:val="3"/>
            <w:tcBorders>
              <w:top w:val="single" w:sz="18" w:space="0" w:color="auto"/>
              <w:bottom w:val="single" w:sz="18" w:space="0" w:color="auto"/>
            </w:tcBorders>
          </w:tcPr>
          <w:p w:rsidR="00F16E3B" w:rsidRPr="009643EB" w:rsidRDefault="001E5D39" w:rsidP="00F16E3B">
            <w:pPr>
              <w:spacing w:after="120"/>
              <w:jc w:val="right"/>
              <w:rPr>
                <w:szCs w:val="24"/>
              </w:rPr>
            </w:pPr>
            <w:r>
              <w:rPr>
                <w:szCs w:val="24"/>
              </w:rPr>
              <w:t>(</w:t>
            </w:r>
            <w:r w:rsidR="00F16E3B">
              <w:rPr>
                <w:szCs w:val="24"/>
              </w:rPr>
              <w:t>228.4</w:t>
            </w:r>
            <w:r>
              <w:rPr>
                <w:szCs w:val="24"/>
              </w:rPr>
              <w:t>)</w:t>
            </w:r>
          </w:p>
        </w:tc>
        <w:tc>
          <w:tcPr>
            <w:tcW w:w="429" w:type="dxa"/>
            <w:gridSpan w:val="3"/>
            <w:tcBorders>
              <w:right w:val="single" w:sz="4" w:space="0" w:color="FFFFFF" w:themeColor="background1"/>
            </w:tcBorders>
          </w:tcPr>
          <w:p w:rsidR="00F16E3B" w:rsidRPr="009643EB" w:rsidRDefault="00F16E3B" w:rsidP="00F16E3B">
            <w:pPr>
              <w:spacing w:after="120"/>
              <w:jc w:val="right"/>
              <w:rPr>
                <w:szCs w:val="24"/>
              </w:rPr>
            </w:pPr>
          </w:p>
        </w:tc>
        <w:tc>
          <w:tcPr>
            <w:tcW w:w="1554" w:type="dxa"/>
            <w:gridSpan w:val="3"/>
            <w:tcBorders>
              <w:top w:val="single" w:sz="18" w:space="0" w:color="auto"/>
              <w:left w:val="single" w:sz="4" w:space="0" w:color="FFFFFF" w:themeColor="background1"/>
              <w:bottom w:val="single" w:sz="18" w:space="0" w:color="auto"/>
            </w:tcBorders>
          </w:tcPr>
          <w:p w:rsidR="00F16E3B" w:rsidRDefault="001E5D39" w:rsidP="00F16E3B">
            <w:pPr>
              <w:spacing w:after="120"/>
              <w:jc w:val="right"/>
              <w:rPr>
                <w:szCs w:val="24"/>
              </w:rPr>
            </w:pPr>
            <w:r>
              <w:rPr>
                <w:szCs w:val="24"/>
              </w:rPr>
              <w:t>(</w:t>
            </w:r>
            <w:r w:rsidR="00F16E3B">
              <w:rPr>
                <w:szCs w:val="24"/>
              </w:rPr>
              <w:t>236.6</w:t>
            </w:r>
            <w:r>
              <w:rPr>
                <w:szCs w:val="24"/>
              </w:rPr>
              <w:t>)</w:t>
            </w:r>
          </w:p>
        </w:tc>
      </w:tr>
      <w:tr w:rsidR="00F16E3B" w:rsidRPr="005364C6" w:rsidTr="0011110D">
        <w:trPr>
          <w:gridAfter w:val="1"/>
          <w:wAfter w:w="328" w:type="dxa"/>
        </w:trPr>
        <w:tc>
          <w:tcPr>
            <w:tcW w:w="4201" w:type="dxa"/>
            <w:gridSpan w:val="3"/>
          </w:tcPr>
          <w:p w:rsidR="00F16E3B" w:rsidRPr="005364C6" w:rsidRDefault="00F16E3B" w:rsidP="00F16E3B">
            <w:pPr>
              <w:spacing w:before="120"/>
              <w:rPr>
                <w:b/>
                <w:szCs w:val="24"/>
              </w:rPr>
            </w:pPr>
            <w:r w:rsidRPr="005364C6">
              <w:rPr>
                <w:b/>
                <w:szCs w:val="24"/>
              </w:rPr>
              <w:t xml:space="preserve">Net </w:t>
            </w:r>
            <w:r>
              <w:rPr>
                <w:b/>
                <w:szCs w:val="24"/>
              </w:rPr>
              <w:t>withdrawals</w:t>
            </w:r>
            <w:r w:rsidRPr="005364C6">
              <w:rPr>
                <w:b/>
                <w:szCs w:val="24"/>
              </w:rPr>
              <w:t xml:space="preserve"> from dealings with members</w:t>
            </w:r>
          </w:p>
        </w:tc>
        <w:tc>
          <w:tcPr>
            <w:tcW w:w="1794" w:type="dxa"/>
            <w:gridSpan w:val="2"/>
          </w:tcPr>
          <w:p w:rsidR="00F16E3B" w:rsidRPr="005364C6" w:rsidRDefault="00F16E3B" w:rsidP="00F16E3B">
            <w:pPr>
              <w:spacing w:before="120"/>
              <w:jc w:val="right"/>
              <w:rPr>
                <w:b/>
                <w:szCs w:val="24"/>
              </w:rPr>
            </w:pPr>
          </w:p>
        </w:tc>
        <w:tc>
          <w:tcPr>
            <w:tcW w:w="1558" w:type="dxa"/>
            <w:gridSpan w:val="3"/>
            <w:tcBorders>
              <w:top w:val="single" w:sz="18" w:space="0" w:color="auto"/>
              <w:bottom w:val="single" w:sz="18" w:space="0" w:color="auto"/>
            </w:tcBorders>
          </w:tcPr>
          <w:p w:rsidR="00F16E3B" w:rsidRPr="005364C6" w:rsidRDefault="00F16E3B" w:rsidP="00F16E3B">
            <w:pPr>
              <w:spacing w:before="120"/>
              <w:jc w:val="right"/>
              <w:rPr>
                <w:b/>
                <w:szCs w:val="24"/>
              </w:rPr>
            </w:pPr>
            <w:r>
              <w:rPr>
                <w:b/>
                <w:szCs w:val="24"/>
              </w:rPr>
              <w:t>(15.8)</w:t>
            </w:r>
          </w:p>
        </w:tc>
        <w:tc>
          <w:tcPr>
            <w:tcW w:w="429" w:type="dxa"/>
            <w:gridSpan w:val="3"/>
            <w:tcBorders>
              <w:right w:val="single" w:sz="4" w:space="0" w:color="FFFFFF" w:themeColor="background1"/>
            </w:tcBorders>
          </w:tcPr>
          <w:p w:rsidR="00F16E3B" w:rsidRPr="005364C6" w:rsidRDefault="00F16E3B" w:rsidP="00F16E3B">
            <w:pPr>
              <w:spacing w:before="120"/>
              <w:jc w:val="right"/>
              <w:rPr>
                <w:b/>
                <w:szCs w:val="24"/>
              </w:rPr>
            </w:pPr>
          </w:p>
        </w:tc>
        <w:tc>
          <w:tcPr>
            <w:tcW w:w="1554" w:type="dxa"/>
            <w:gridSpan w:val="3"/>
            <w:tcBorders>
              <w:top w:val="single" w:sz="18" w:space="0" w:color="auto"/>
              <w:left w:val="single" w:sz="4" w:space="0" w:color="FFFFFF" w:themeColor="background1"/>
              <w:bottom w:val="single" w:sz="18" w:space="0" w:color="auto"/>
            </w:tcBorders>
          </w:tcPr>
          <w:p w:rsidR="00F16E3B" w:rsidRPr="005364C6" w:rsidRDefault="00F16E3B" w:rsidP="00F16E3B">
            <w:pPr>
              <w:spacing w:before="120"/>
              <w:jc w:val="right"/>
              <w:rPr>
                <w:b/>
                <w:szCs w:val="24"/>
              </w:rPr>
            </w:pPr>
            <w:r>
              <w:rPr>
                <w:b/>
                <w:szCs w:val="24"/>
              </w:rPr>
              <w:t>(</w:t>
            </w:r>
            <w:r w:rsidRPr="005364C6">
              <w:rPr>
                <w:b/>
                <w:szCs w:val="24"/>
              </w:rPr>
              <w:t>1</w:t>
            </w:r>
            <w:r>
              <w:rPr>
                <w:b/>
                <w:szCs w:val="24"/>
              </w:rPr>
              <w:t>6</w:t>
            </w:r>
            <w:r w:rsidRPr="005364C6">
              <w:rPr>
                <w:b/>
                <w:szCs w:val="24"/>
              </w:rPr>
              <w:t>.</w:t>
            </w:r>
            <w:r>
              <w:rPr>
                <w:b/>
                <w:szCs w:val="24"/>
              </w:rPr>
              <w:t>2)</w:t>
            </w:r>
          </w:p>
        </w:tc>
      </w:tr>
    </w:tbl>
    <w:p w:rsidR="00F16E3B" w:rsidRDefault="00F16E3B" w:rsidP="00F16E3B"/>
    <w:p w:rsidR="00F16E3B" w:rsidRDefault="00F16E3B" w:rsidP="00F16E3B"/>
    <w:p w:rsidR="00897DBF" w:rsidRDefault="00897DBF">
      <w:pPr>
        <w:ind w:right="20"/>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2"/>
        <w:gridCol w:w="2122"/>
        <w:gridCol w:w="1557"/>
        <w:gridCol w:w="430"/>
        <w:gridCol w:w="1553"/>
      </w:tblGrid>
      <w:tr w:rsidR="00F16E3B" w:rsidRPr="009643EB" w:rsidTr="008E1E86">
        <w:tc>
          <w:tcPr>
            <w:tcW w:w="4202" w:type="dxa"/>
          </w:tcPr>
          <w:p w:rsidR="00F16E3B" w:rsidRDefault="00F16E3B" w:rsidP="00F16E3B">
            <w:pPr>
              <w:spacing w:after="120"/>
              <w:rPr>
                <w:b/>
                <w:szCs w:val="24"/>
              </w:rPr>
            </w:pPr>
            <w:r>
              <w:rPr>
                <w:b/>
                <w:szCs w:val="24"/>
              </w:rPr>
              <w:t>Return on investments</w:t>
            </w:r>
          </w:p>
        </w:tc>
        <w:tc>
          <w:tcPr>
            <w:tcW w:w="2122" w:type="dxa"/>
          </w:tcPr>
          <w:p w:rsidR="00F16E3B" w:rsidRPr="009643EB" w:rsidRDefault="00F16E3B" w:rsidP="00F16E3B">
            <w:pPr>
              <w:spacing w:after="120"/>
              <w:jc w:val="right"/>
              <w:rPr>
                <w:szCs w:val="24"/>
              </w:rPr>
            </w:pPr>
          </w:p>
        </w:tc>
        <w:tc>
          <w:tcPr>
            <w:tcW w:w="1557" w:type="dxa"/>
          </w:tcPr>
          <w:p w:rsidR="00F16E3B" w:rsidRPr="009643EB" w:rsidRDefault="00F16E3B" w:rsidP="00F16E3B">
            <w:pPr>
              <w:spacing w:after="120"/>
              <w:jc w:val="right"/>
              <w:rPr>
                <w:szCs w:val="24"/>
              </w:rPr>
            </w:pPr>
          </w:p>
        </w:tc>
        <w:tc>
          <w:tcPr>
            <w:tcW w:w="430" w:type="dxa"/>
            <w:tcBorders>
              <w:right w:val="single" w:sz="4" w:space="0" w:color="FFFFFF" w:themeColor="background1"/>
            </w:tcBorders>
          </w:tcPr>
          <w:p w:rsidR="00F16E3B" w:rsidRPr="009643EB" w:rsidRDefault="00F16E3B" w:rsidP="00F16E3B">
            <w:pPr>
              <w:spacing w:after="120"/>
              <w:jc w:val="right"/>
              <w:rPr>
                <w:szCs w:val="24"/>
              </w:rPr>
            </w:pPr>
          </w:p>
        </w:tc>
        <w:tc>
          <w:tcPr>
            <w:tcW w:w="1553" w:type="dxa"/>
            <w:tcBorders>
              <w:left w:val="single" w:sz="4" w:space="0" w:color="FFFFFF" w:themeColor="background1"/>
            </w:tcBorders>
          </w:tcPr>
          <w:p w:rsidR="00F16E3B" w:rsidRPr="009643EB" w:rsidRDefault="00F16E3B" w:rsidP="00F16E3B">
            <w:pPr>
              <w:spacing w:after="120"/>
              <w:jc w:val="right"/>
              <w:rPr>
                <w:szCs w:val="24"/>
              </w:rPr>
            </w:pPr>
          </w:p>
        </w:tc>
      </w:tr>
      <w:tr w:rsidR="00F16E3B" w:rsidRPr="009643EB" w:rsidTr="008E1E86">
        <w:tc>
          <w:tcPr>
            <w:tcW w:w="4202" w:type="dxa"/>
          </w:tcPr>
          <w:p w:rsidR="00F16E3B" w:rsidRPr="009643EB" w:rsidRDefault="00F16E3B" w:rsidP="00F16E3B">
            <w:pPr>
              <w:spacing w:after="120"/>
              <w:rPr>
                <w:szCs w:val="24"/>
              </w:rPr>
            </w:pPr>
            <w:r>
              <w:rPr>
                <w:szCs w:val="24"/>
              </w:rPr>
              <w:t>Investment income</w:t>
            </w:r>
          </w:p>
        </w:tc>
        <w:tc>
          <w:tcPr>
            <w:tcW w:w="2122" w:type="dxa"/>
          </w:tcPr>
          <w:p w:rsidR="00897DBF" w:rsidRDefault="00F16E3B">
            <w:pPr>
              <w:tabs>
                <w:tab w:val="left" w:pos="793"/>
              </w:tabs>
              <w:spacing w:after="120"/>
              <w:ind w:right="1086"/>
              <w:jc w:val="center"/>
              <w:rPr>
                <w:szCs w:val="24"/>
              </w:rPr>
            </w:pPr>
            <w:r>
              <w:rPr>
                <w:szCs w:val="24"/>
              </w:rPr>
              <w:t>11</w:t>
            </w:r>
          </w:p>
        </w:tc>
        <w:tc>
          <w:tcPr>
            <w:tcW w:w="1557" w:type="dxa"/>
          </w:tcPr>
          <w:p w:rsidR="00897DBF" w:rsidRDefault="00F16E3B">
            <w:pPr>
              <w:spacing w:after="120"/>
              <w:ind w:right="260"/>
              <w:jc w:val="right"/>
              <w:rPr>
                <w:szCs w:val="24"/>
              </w:rPr>
            </w:pPr>
            <w:r>
              <w:rPr>
                <w:szCs w:val="24"/>
              </w:rPr>
              <w:t>123.9</w:t>
            </w:r>
          </w:p>
        </w:tc>
        <w:tc>
          <w:tcPr>
            <w:tcW w:w="430" w:type="dxa"/>
            <w:tcBorders>
              <w:right w:val="single" w:sz="4" w:space="0" w:color="FFFFFF" w:themeColor="background1"/>
            </w:tcBorders>
          </w:tcPr>
          <w:p w:rsidR="00F16E3B" w:rsidRPr="009643EB" w:rsidRDefault="00F16E3B" w:rsidP="00F16E3B">
            <w:pPr>
              <w:spacing w:after="120"/>
              <w:jc w:val="right"/>
              <w:rPr>
                <w:szCs w:val="24"/>
              </w:rPr>
            </w:pPr>
          </w:p>
        </w:tc>
        <w:tc>
          <w:tcPr>
            <w:tcW w:w="1553" w:type="dxa"/>
            <w:tcBorders>
              <w:left w:val="single" w:sz="4" w:space="0" w:color="FFFFFF" w:themeColor="background1"/>
            </w:tcBorders>
          </w:tcPr>
          <w:p w:rsidR="00897DBF" w:rsidRDefault="00F16E3B">
            <w:pPr>
              <w:spacing w:after="120"/>
              <w:ind w:right="259"/>
              <w:jc w:val="right"/>
              <w:rPr>
                <w:szCs w:val="24"/>
              </w:rPr>
            </w:pPr>
            <w:r>
              <w:rPr>
                <w:szCs w:val="24"/>
              </w:rPr>
              <w:t>118.8</w:t>
            </w:r>
          </w:p>
        </w:tc>
      </w:tr>
      <w:tr w:rsidR="00F16E3B" w:rsidRPr="009643EB" w:rsidTr="008E1E86">
        <w:tc>
          <w:tcPr>
            <w:tcW w:w="4202" w:type="dxa"/>
          </w:tcPr>
          <w:p w:rsidR="00F16E3B" w:rsidRDefault="00F16E3B" w:rsidP="00F16E3B">
            <w:pPr>
              <w:spacing w:after="120"/>
              <w:rPr>
                <w:szCs w:val="24"/>
              </w:rPr>
            </w:pPr>
            <w:r>
              <w:rPr>
                <w:szCs w:val="24"/>
              </w:rPr>
              <w:t>Profit and loss on disposal of investments and change in market value of investments</w:t>
            </w:r>
          </w:p>
        </w:tc>
        <w:tc>
          <w:tcPr>
            <w:tcW w:w="2122" w:type="dxa"/>
          </w:tcPr>
          <w:p w:rsidR="00897DBF" w:rsidRDefault="00F16E3B">
            <w:pPr>
              <w:tabs>
                <w:tab w:val="left" w:pos="1026"/>
              </w:tabs>
              <w:spacing w:after="120"/>
              <w:ind w:right="1086"/>
              <w:jc w:val="center"/>
              <w:rPr>
                <w:szCs w:val="24"/>
              </w:rPr>
            </w:pPr>
            <w:r w:rsidRPr="00440AB3">
              <w:rPr>
                <w:szCs w:val="24"/>
              </w:rPr>
              <w:t>1</w:t>
            </w:r>
            <w:r>
              <w:rPr>
                <w:szCs w:val="24"/>
              </w:rPr>
              <w:t>4</w:t>
            </w:r>
          </w:p>
        </w:tc>
        <w:tc>
          <w:tcPr>
            <w:tcW w:w="1557" w:type="dxa"/>
          </w:tcPr>
          <w:p w:rsidR="00897DBF" w:rsidRDefault="00F16E3B">
            <w:pPr>
              <w:spacing w:after="120"/>
              <w:ind w:right="260"/>
              <w:jc w:val="right"/>
              <w:rPr>
                <w:szCs w:val="24"/>
              </w:rPr>
            </w:pPr>
            <w:r>
              <w:rPr>
                <w:szCs w:val="24"/>
              </w:rPr>
              <w:t>532.6</w:t>
            </w:r>
          </w:p>
        </w:tc>
        <w:tc>
          <w:tcPr>
            <w:tcW w:w="430" w:type="dxa"/>
            <w:tcBorders>
              <w:right w:val="single" w:sz="4" w:space="0" w:color="FFFFFF" w:themeColor="background1"/>
            </w:tcBorders>
          </w:tcPr>
          <w:p w:rsidR="00F16E3B" w:rsidRPr="009643EB" w:rsidRDefault="00F16E3B" w:rsidP="00F16E3B">
            <w:pPr>
              <w:spacing w:after="120"/>
              <w:jc w:val="right"/>
              <w:rPr>
                <w:szCs w:val="24"/>
              </w:rPr>
            </w:pPr>
          </w:p>
        </w:tc>
        <w:tc>
          <w:tcPr>
            <w:tcW w:w="1553" w:type="dxa"/>
            <w:tcBorders>
              <w:left w:val="single" w:sz="4" w:space="0" w:color="FFFFFF" w:themeColor="background1"/>
            </w:tcBorders>
          </w:tcPr>
          <w:p w:rsidR="00897DBF" w:rsidRDefault="00F16E3B">
            <w:pPr>
              <w:spacing w:after="120"/>
              <w:ind w:right="259"/>
              <w:jc w:val="right"/>
              <w:rPr>
                <w:szCs w:val="24"/>
              </w:rPr>
            </w:pPr>
            <w:r>
              <w:rPr>
                <w:szCs w:val="24"/>
              </w:rPr>
              <w:t>(7.9)</w:t>
            </w:r>
          </w:p>
        </w:tc>
      </w:tr>
      <w:tr w:rsidR="00F16E3B" w:rsidRPr="009643EB" w:rsidTr="008E1E86">
        <w:tc>
          <w:tcPr>
            <w:tcW w:w="4202" w:type="dxa"/>
          </w:tcPr>
          <w:p w:rsidR="00F16E3B" w:rsidRDefault="00F16E3B" w:rsidP="00F16E3B">
            <w:pPr>
              <w:spacing w:after="120"/>
              <w:rPr>
                <w:szCs w:val="24"/>
              </w:rPr>
            </w:pPr>
            <w:r>
              <w:rPr>
                <w:szCs w:val="24"/>
              </w:rPr>
              <w:t>Investment management expenses</w:t>
            </w:r>
          </w:p>
        </w:tc>
        <w:tc>
          <w:tcPr>
            <w:tcW w:w="2122" w:type="dxa"/>
          </w:tcPr>
          <w:p w:rsidR="00897DBF" w:rsidRDefault="00F16E3B">
            <w:pPr>
              <w:tabs>
                <w:tab w:val="left" w:pos="1026"/>
              </w:tabs>
              <w:spacing w:after="120"/>
              <w:ind w:right="1086"/>
              <w:jc w:val="center"/>
              <w:rPr>
                <w:szCs w:val="24"/>
              </w:rPr>
            </w:pPr>
            <w:r w:rsidRPr="00440AB3">
              <w:rPr>
                <w:szCs w:val="24"/>
              </w:rPr>
              <w:t>21</w:t>
            </w:r>
          </w:p>
        </w:tc>
        <w:tc>
          <w:tcPr>
            <w:tcW w:w="1557" w:type="dxa"/>
            <w:tcBorders>
              <w:bottom w:val="single" w:sz="18" w:space="0" w:color="auto"/>
            </w:tcBorders>
          </w:tcPr>
          <w:p w:rsidR="00897DBF" w:rsidRDefault="00F16E3B">
            <w:pPr>
              <w:spacing w:after="120"/>
              <w:ind w:right="260"/>
              <w:jc w:val="right"/>
              <w:rPr>
                <w:szCs w:val="24"/>
              </w:rPr>
            </w:pPr>
            <w:r>
              <w:rPr>
                <w:szCs w:val="24"/>
              </w:rPr>
              <w:t>(9.7)</w:t>
            </w:r>
          </w:p>
        </w:tc>
        <w:tc>
          <w:tcPr>
            <w:tcW w:w="430" w:type="dxa"/>
            <w:tcBorders>
              <w:right w:val="single" w:sz="4" w:space="0" w:color="FFFFFF" w:themeColor="background1"/>
            </w:tcBorders>
          </w:tcPr>
          <w:p w:rsidR="00F16E3B" w:rsidRPr="009643EB" w:rsidRDefault="00F16E3B" w:rsidP="00F16E3B">
            <w:pPr>
              <w:spacing w:after="120"/>
              <w:jc w:val="right"/>
              <w:rPr>
                <w:szCs w:val="24"/>
              </w:rPr>
            </w:pPr>
          </w:p>
        </w:tc>
        <w:tc>
          <w:tcPr>
            <w:tcW w:w="1553" w:type="dxa"/>
            <w:tcBorders>
              <w:left w:val="single" w:sz="4" w:space="0" w:color="FFFFFF" w:themeColor="background1"/>
              <w:bottom w:val="single" w:sz="18" w:space="0" w:color="auto"/>
            </w:tcBorders>
          </w:tcPr>
          <w:p w:rsidR="00897DBF" w:rsidRDefault="00F16E3B">
            <w:pPr>
              <w:spacing w:after="120"/>
              <w:ind w:right="259"/>
              <w:jc w:val="right"/>
              <w:rPr>
                <w:szCs w:val="24"/>
              </w:rPr>
            </w:pPr>
            <w:r>
              <w:rPr>
                <w:szCs w:val="24"/>
              </w:rPr>
              <w:t>(8.3)</w:t>
            </w:r>
          </w:p>
        </w:tc>
      </w:tr>
      <w:tr w:rsidR="00F16E3B" w:rsidRPr="009643EB" w:rsidTr="008E1E86">
        <w:tc>
          <w:tcPr>
            <w:tcW w:w="4202" w:type="dxa"/>
          </w:tcPr>
          <w:p w:rsidR="00F16E3B" w:rsidRPr="0090717E" w:rsidRDefault="00F16E3B" w:rsidP="00F16E3B">
            <w:pPr>
              <w:spacing w:after="120"/>
              <w:rPr>
                <w:b/>
                <w:szCs w:val="24"/>
              </w:rPr>
            </w:pPr>
            <w:r w:rsidRPr="0090717E">
              <w:rPr>
                <w:b/>
                <w:szCs w:val="24"/>
              </w:rPr>
              <w:t>Net return on investments</w:t>
            </w:r>
          </w:p>
        </w:tc>
        <w:tc>
          <w:tcPr>
            <w:tcW w:w="2122" w:type="dxa"/>
          </w:tcPr>
          <w:p w:rsidR="00F16E3B" w:rsidRPr="0090717E" w:rsidRDefault="00F16E3B" w:rsidP="00F16E3B">
            <w:pPr>
              <w:spacing w:after="120"/>
              <w:jc w:val="right"/>
              <w:rPr>
                <w:b/>
                <w:szCs w:val="24"/>
              </w:rPr>
            </w:pPr>
          </w:p>
        </w:tc>
        <w:tc>
          <w:tcPr>
            <w:tcW w:w="1557" w:type="dxa"/>
            <w:tcBorders>
              <w:top w:val="single" w:sz="18" w:space="0" w:color="auto"/>
              <w:bottom w:val="single" w:sz="18" w:space="0" w:color="auto"/>
            </w:tcBorders>
          </w:tcPr>
          <w:p w:rsidR="00897DBF" w:rsidRDefault="00F16E3B">
            <w:pPr>
              <w:spacing w:after="120"/>
              <w:ind w:right="260"/>
              <w:jc w:val="right"/>
              <w:rPr>
                <w:b/>
                <w:szCs w:val="24"/>
              </w:rPr>
            </w:pPr>
            <w:r>
              <w:rPr>
                <w:b/>
                <w:szCs w:val="24"/>
              </w:rPr>
              <w:t>646.8</w:t>
            </w:r>
          </w:p>
        </w:tc>
        <w:tc>
          <w:tcPr>
            <w:tcW w:w="430" w:type="dxa"/>
            <w:tcBorders>
              <w:right w:val="single" w:sz="4" w:space="0" w:color="FFFFFF" w:themeColor="background1"/>
            </w:tcBorders>
          </w:tcPr>
          <w:p w:rsidR="00F16E3B" w:rsidRPr="0090717E" w:rsidRDefault="00F16E3B" w:rsidP="00F16E3B">
            <w:pPr>
              <w:spacing w:after="120"/>
              <w:jc w:val="right"/>
              <w:rPr>
                <w:b/>
                <w:szCs w:val="24"/>
              </w:rPr>
            </w:pPr>
          </w:p>
        </w:tc>
        <w:tc>
          <w:tcPr>
            <w:tcW w:w="1553" w:type="dxa"/>
            <w:tcBorders>
              <w:top w:val="single" w:sz="18" w:space="0" w:color="auto"/>
              <w:left w:val="single" w:sz="4" w:space="0" w:color="FFFFFF" w:themeColor="background1"/>
              <w:bottom w:val="single" w:sz="18" w:space="0" w:color="auto"/>
            </w:tcBorders>
          </w:tcPr>
          <w:p w:rsidR="00897DBF" w:rsidRDefault="00F16E3B">
            <w:pPr>
              <w:spacing w:after="120"/>
              <w:ind w:right="259"/>
              <w:jc w:val="right"/>
              <w:rPr>
                <w:b/>
                <w:szCs w:val="24"/>
              </w:rPr>
            </w:pPr>
            <w:r>
              <w:rPr>
                <w:b/>
                <w:szCs w:val="24"/>
              </w:rPr>
              <w:t>102</w:t>
            </w:r>
            <w:r w:rsidRPr="0090717E">
              <w:rPr>
                <w:b/>
                <w:szCs w:val="24"/>
              </w:rPr>
              <w:t>.</w:t>
            </w:r>
            <w:r>
              <w:rPr>
                <w:b/>
                <w:szCs w:val="24"/>
              </w:rPr>
              <w:t>6</w:t>
            </w:r>
          </w:p>
        </w:tc>
      </w:tr>
      <w:tr w:rsidR="00F16E3B" w:rsidRPr="009643EB" w:rsidTr="008E1E86">
        <w:tc>
          <w:tcPr>
            <w:tcW w:w="4202" w:type="dxa"/>
          </w:tcPr>
          <w:p w:rsidR="00F16E3B" w:rsidRPr="0090717E" w:rsidRDefault="00F16E3B" w:rsidP="00F16E3B">
            <w:pPr>
              <w:spacing w:before="120"/>
              <w:rPr>
                <w:b/>
                <w:szCs w:val="24"/>
              </w:rPr>
            </w:pPr>
            <w:r w:rsidRPr="0090717E">
              <w:rPr>
                <w:b/>
                <w:szCs w:val="24"/>
              </w:rPr>
              <w:t xml:space="preserve">Net increase (decrease) in the </w:t>
            </w:r>
            <w:r>
              <w:rPr>
                <w:b/>
                <w:szCs w:val="24"/>
              </w:rPr>
              <w:t>net assets available for benefits during the year</w:t>
            </w:r>
          </w:p>
        </w:tc>
        <w:tc>
          <w:tcPr>
            <w:tcW w:w="2122" w:type="dxa"/>
          </w:tcPr>
          <w:p w:rsidR="00F16E3B" w:rsidRPr="0090717E" w:rsidRDefault="00F16E3B" w:rsidP="00F16E3B">
            <w:pPr>
              <w:spacing w:before="120"/>
              <w:jc w:val="right"/>
              <w:rPr>
                <w:b/>
                <w:szCs w:val="24"/>
              </w:rPr>
            </w:pPr>
          </w:p>
        </w:tc>
        <w:tc>
          <w:tcPr>
            <w:tcW w:w="1557" w:type="dxa"/>
            <w:tcBorders>
              <w:top w:val="single" w:sz="18" w:space="0" w:color="auto"/>
              <w:bottom w:val="double" w:sz="12" w:space="0" w:color="auto"/>
            </w:tcBorders>
          </w:tcPr>
          <w:p w:rsidR="00897DBF" w:rsidRDefault="00F16E3B">
            <w:pPr>
              <w:spacing w:before="120"/>
              <w:ind w:right="260"/>
              <w:jc w:val="right"/>
              <w:rPr>
                <w:b/>
                <w:szCs w:val="24"/>
              </w:rPr>
            </w:pPr>
            <w:r>
              <w:rPr>
                <w:b/>
                <w:szCs w:val="24"/>
              </w:rPr>
              <w:t>631.0</w:t>
            </w:r>
          </w:p>
        </w:tc>
        <w:tc>
          <w:tcPr>
            <w:tcW w:w="430" w:type="dxa"/>
            <w:tcBorders>
              <w:right w:val="single" w:sz="4" w:space="0" w:color="FFFFFF" w:themeColor="background1"/>
            </w:tcBorders>
          </w:tcPr>
          <w:p w:rsidR="00F16E3B" w:rsidRPr="0090717E" w:rsidRDefault="00F16E3B" w:rsidP="00F16E3B">
            <w:pPr>
              <w:spacing w:before="120"/>
              <w:jc w:val="right"/>
              <w:rPr>
                <w:b/>
                <w:szCs w:val="24"/>
              </w:rPr>
            </w:pPr>
          </w:p>
        </w:tc>
        <w:tc>
          <w:tcPr>
            <w:tcW w:w="1553" w:type="dxa"/>
            <w:tcBorders>
              <w:top w:val="single" w:sz="18" w:space="0" w:color="auto"/>
              <w:left w:val="single" w:sz="4" w:space="0" w:color="FFFFFF" w:themeColor="background1"/>
              <w:bottom w:val="double" w:sz="12" w:space="0" w:color="auto"/>
            </w:tcBorders>
          </w:tcPr>
          <w:p w:rsidR="00897DBF" w:rsidRDefault="00F16E3B">
            <w:pPr>
              <w:spacing w:before="120"/>
              <w:ind w:right="259"/>
              <w:jc w:val="right"/>
              <w:rPr>
                <w:b/>
                <w:szCs w:val="24"/>
              </w:rPr>
            </w:pPr>
            <w:r>
              <w:rPr>
                <w:b/>
                <w:szCs w:val="24"/>
              </w:rPr>
              <w:t>86.4</w:t>
            </w:r>
          </w:p>
        </w:tc>
      </w:tr>
    </w:tbl>
    <w:p w:rsidR="009A3AFE" w:rsidRDefault="009A3AFE" w:rsidP="009A3AFE"/>
    <w:p w:rsidR="00F332F8" w:rsidRDefault="009A3AFE" w:rsidP="009A3AFE">
      <w:pPr>
        <w:pStyle w:val="Heading5"/>
        <w:spacing w:line="360" w:lineRule="auto"/>
        <w:jc w:val="center"/>
        <w:rPr>
          <w:szCs w:val="24"/>
        </w:rPr>
      </w:pPr>
      <w:r>
        <w:rPr>
          <w:szCs w:val="24"/>
        </w:rPr>
        <w:br w:type="page"/>
      </w:r>
    </w:p>
    <w:tbl>
      <w:tblPr>
        <w:tblW w:w="0" w:type="auto"/>
        <w:tblLook w:val="04A0"/>
      </w:tblPr>
      <w:tblGrid>
        <w:gridCol w:w="4926"/>
        <w:gridCol w:w="4927"/>
      </w:tblGrid>
      <w:tr w:rsidR="009A3AFE" w:rsidRPr="0017515A" w:rsidTr="009A3AFE">
        <w:tc>
          <w:tcPr>
            <w:tcW w:w="4926" w:type="dxa"/>
          </w:tcPr>
          <w:p w:rsidR="002C4AD2" w:rsidRDefault="002C4AD2">
            <w:pPr>
              <w:rPr>
                <w:b/>
                <w:szCs w:val="24"/>
                <w:lang w:eastAsia="en-US"/>
              </w:rPr>
            </w:pPr>
          </w:p>
        </w:tc>
        <w:tc>
          <w:tcPr>
            <w:tcW w:w="4927" w:type="dxa"/>
          </w:tcPr>
          <w:p w:rsidR="009A3AFE" w:rsidRPr="004B3393" w:rsidRDefault="009A3AFE" w:rsidP="009A3AFE">
            <w:pPr>
              <w:rPr>
                <w:b/>
                <w:szCs w:val="24"/>
                <w:lang w:eastAsia="en-US"/>
              </w:rPr>
            </w:pPr>
          </w:p>
        </w:tc>
      </w:tr>
    </w:tbl>
    <w:p w:rsidR="004903C8" w:rsidRDefault="004903C8" w:rsidP="004903C8">
      <w:pPr>
        <w:pStyle w:val="Heading5"/>
        <w:spacing w:line="360" w:lineRule="auto"/>
        <w:jc w:val="center"/>
        <w:rPr>
          <w:rFonts w:ascii="Arial" w:hAnsi="Arial"/>
          <w:szCs w:val="24"/>
          <w:u w:val="none"/>
        </w:rPr>
      </w:pPr>
      <w:r w:rsidRPr="00942A4F">
        <w:rPr>
          <w:rFonts w:ascii="Arial" w:hAnsi="Arial"/>
          <w:szCs w:val="24"/>
          <w:u w:val="none"/>
        </w:rPr>
        <w:t>Net Asset statement for the year ended 31 March 201</w:t>
      </w:r>
      <w:r>
        <w:rPr>
          <w:rFonts w:ascii="Arial" w:hAnsi="Arial"/>
          <w:szCs w:val="24"/>
          <w:u w:val="none"/>
        </w:rPr>
        <w:t>3</w:t>
      </w:r>
    </w:p>
    <w:p w:rsidR="004903C8" w:rsidRDefault="004903C8" w:rsidP="004903C8"/>
    <w:p w:rsidR="004903C8" w:rsidRDefault="004903C8" w:rsidP="004903C8"/>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1"/>
        <w:gridCol w:w="1991"/>
        <w:gridCol w:w="1276"/>
        <w:gridCol w:w="709"/>
        <w:gridCol w:w="1274"/>
      </w:tblGrid>
      <w:tr w:rsidR="004903C8" w:rsidTr="00F24974">
        <w:tc>
          <w:tcPr>
            <w:tcW w:w="4201" w:type="dxa"/>
          </w:tcPr>
          <w:p w:rsidR="004903C8" w:rsidRDefault="004903C8" w:rsidP="004903C8">
            <w:pPr>
              <w:rPr>
                <w:b/>
                <w:szCs w:val="24"/>
              </w:rPr>
            </w:pPr>
          </w:p>
          <w:p w:rsidR="004903C8" w:rsidRDefault="004903C8" w:rsidP="004903C8">
            <w:pPr>
              <w:jc w:val="right"/>
              <w:rPr>
                <w:b/>
                <w:szCs w:val="24"/>
              </w:rPr>
            </w:pPr>
          </w:p>
        </w:tc>
        <w:tc>
          <w:tcPr>
            <w:tcW w:w="1991" w:type="dxa"/>
          </w:tcPr>
          <w:p w:rsidR="004903C8" w:rsidRDefault="004903C8" w:rsidP="004903C8">
            <w:pPr>
              <w:rPr>
                <w:b/>
                <w:szCs w:val="24"/>
              </w:rPr>
            </w:pPr>
          </w:p>
          <w:p w:rsidR="004903C8" w:rsidRDefault="004903C8" w:rsidP="004903C8">
            <w:pPr>
              <w:jc w:val="center"/>
              <w:rPr>
                <w:b/>
                <w:szCs w:val="24"/>
              </w:rPr>
            </w:pPr>
            <w:r>
              <w:rPr>
                <w:b/>
                <w:szCs w:val="24"/>
              </w:rPr>
              <w:t>Note</w:t>
            </w:r>
          </w:p>
        </w:tc>
        <w:tc>
          <w:tcPr>
            <w:tcW w:w="1276" w:type="dxa"/>
          </w:tcPr>
          <w:p w:rsidR="00897DBF" w:rsidRDefault="004903C8">
            <w:pPr>
              <w:ind w:left="-249" w:firstLine="249"/>
              <w:jc w:val="right"/>
              <w:rPr>
                <w:b/>
                <w:szCs w:val="24"/>
              </w:rPr>
            </w:pPr>
            <w:r>
              <w:rPr>
                <w:b/>
                <w:szCs w:val="24"/>
              </w:rPr>
              <w:t>2013</w:t>
            </w:r>
          </w:p>
          <w:p w:rsidR="00897DBF" w:rsidRDefault="004903C8">
            <w:pPr>
              <w:ind w:left="-249" w:firstLine="249"/>
              <w:jc w:val="right"/>
              <w:rPr>
                <w:b/>
                <w:szCs w:val="24"/>
              </w:rPr>
            </w:pPr>
            <w:r>
              <w:rPr>
                <w:b/>
                <w:szCs w:val="24"/>
              </w:rPr>
              <w:t>£m</w:t>
            </w:r>
          </w:p>
        </w:tc>
        <w:tc>
          <w:tcPr>
            <w:tcW w:w="709" w:type="dxa"/>
            <w:tcBorders>
              <w:right w:val="single" w:sz="4" w:space="0" w:color="FFFFFF" w:themeColor="background1"/>
            </w:tcBorders>
          </w:tcPr>
          <w:p w:rsidR="004903C8" w:rsidRDefault="004903C8" w:rsidP="004903C8">
            <w:pPr>
              <w:jc w:val="right"/>
              <w:rPr>
                <w:b/>
                <w:szCs w:val="24"/>
              </w:rPr>
            </w:pPr>
          </w:p>
          <w:p w:rsidR="004903C8" w:rsidRDefault="004903C8" w:rsidP="004903C8">
            <w:pPr>
              <w:jc w:val="right"/>
              <w:rPr>
                <w:b/>
                <w:szCs w:val="24"/>
              </w:rPr>
            </w:pPr>
          </w:p>
        </w:tc>
        <w:tc>
          <w:tcPr>
            <w:tcW w:w="1274" w:type="dxa"/>
            <w:tcBorders>
              <w:left w:val="single" w:sz="4" w:space="0" w:color="FFFFFF" w:themeColor="background1"/>
            </w:tcBorders>
          </w:tcPr>
          <w:p w:rsidR="00897DBF" w:rsidRDefault="004903C8">
            <w:pPr>
              <w:ind w:left="172" w:hanging="172"/>
              <w:jc w:val="right"/>
              <w:rPr>
                <w:b/>
                <w:szCs w:val="24"/>
              </w:rPr>
            </w:pPr>
            <w:r>
              <w:rPr>
                <w:b/>
                <w:szCs w:val="24"/>
              </w:rPr>
              <w:t>2012</w:t>
            </w:r>
          </w:p>
          <w:p w:rsidR="00897DBF" w:rsidRDefault="004903C8">
            <w:pPr>
              <w:ind w:left="172" w:hanging="172"/>
              <w:jc w:val="right"/>
              <w:rPr>
                <w:b/>
                <w:szCs w:val="24"/>
              </w:rPr>
            </w:pPr>
            <w:r>
              <w:rPr>
                <w:b/>
                <w:szCs w:val="24"/>
              </w:rPr>
              <w:t>£m</w:t>
            </w:r>
          </w:p>
          <w:p w:rsidR="00897DBF" w:rsidRDefault="00897DBF">
            <w:pPr>
              <w:ind w:left="172" w:hanging="172"/>
              <w:jc w:val="right"/>
              <w:rPr>
                <w:b/>
                <w:szCs w:val="24"/>
              </w:rPr>
            </w:pPr>
          </w:p>
        </w:tc>
      </w:tr>
      <w:tr w:rsidR="004903C8" w:rsidRPr="009643EB" w:rsidTr="00F24974">
        <w:tc>
          <w:tcPr>
            <w:tcW w:w="4201" w:type="dxa"/>
          </w:tcPr>
          <w:p w:rsidR="004903C8" w:rsidRPr="00614617" w:rsidRDefault="004903C8" w:rsidP="004903C8">
            <w:pPr>
              <w:spacing w:after="120"/>
              <w:rPr>
                <w:szCs w:val="24"/>
              </w:rPr>
            </w:pPr>
            <w:r>
              <w:rPr>
                <w:szCs w:val="24"/>
              </w:rPr>
              <w:t>Investment assets</w:t>
            </w:r>
          </w:p>
        </w:tc>
        <w:tc>
          <w:tcPr>
            <w:tcW w:w="1991" w:type="dxa"/>
          </w:tcPr>
          <w:p w:rsidR="004903C8" w:rsidRPr="009643EB" w:rsidRDefault="004903C8" w:rsidP="004903C8">
            <w:pPr>
              <w:tabs>
                <w:tab w:val="left" w:pos="1026"/>
              </w:tabs>
              <w:spacing w:after="120"/>
              <w:jc w:val="center"/>
              <w:rPr>
                <w:szCs w:val="24"/>
              </w:rPr>
            </w:pPr>
            <w:r>
              <w:rPr>
                <w:szCs w:val="24"/>
              </w:rPr>
              <w:t>14</w:t>
            </w:r>
          </w:p>
        </w:tc>
        <w:tc>
          <w:tcPr>
            <w:tcW w:w="1276" w:type="dxa"/>
          </w:tcPr>
          <w:p w:rsidR="00897DBF" w:rsidRDefault="004903C8">
            <w:pPr>
              <w:spacing w:after="120"/>
              <w:ind w:left="-249" w:firstLine="249"/>
              <w:jc w:val="right"/>
              <w:rPr>
                <w:szCs w:val="24"/>
              </w:rPr>
            </w:pPr>
            <w:r>
              <w:rPr>
                <w:szCs w:val="24"/>
              </w:rPr>
              <w:t>4,9</w:t>
            </w:r>
            <w:r w:rsidR="00BA49FC">
              <w:rPr>
                <w:szCs w:val="24"/>
              </w:rPr>
              <w:t>90</w:t>
            </w:r>
            <w:r>
              <w:rPr>
                <w:szCs w:val="24"/>
              </w:rPr>
              <w:t>.</w:t>
            </w:r>
            <w:r w:rsidR="00BA49FC">
              <w:rPr>
                <w:szCs w:val="24"/>
              </w:rPr>
              <w:t>9</w:t>
            </w:r>
          </w:p>
        </w:tc>
        <w:tc>
          <w:tcPr>
            <w:tcW w:w="709" w:type="dxa"/>
            <w:tcBorders>
              <w:right w:val="single" w:sz="4" w:space="0" w:color="FFFFFF" w:themeColor="background1"/>
            </w:tcBorders>
          </w:tcPr>
          <w:p w:rsidR="004903C8" w:rsidRPr="009643EB" w:rsidRDefault="004903C8" w:rsidP="004903C8">
            <w:pPr>
              <w:spacing w:after="120"/>
              <w:jc w:val="right"/>
              <w:rPr>
                <w:szCs w:val="24"/>
              </w:rPr>
            </w:pPr>
          </w:p>
        </w:tc>
        <w:tc>
          <w:tcPr>
            <w:tcW w:w="1274" w:type="dxa"/>
            <w:tcBorders>
              <w:left w:val="single" w:sz="4" w:space="0" w:color="FFFFFF" w:themeColor="background1"/>
            </w:tcBorders>
          </w:tcPr>
          <w:p w:rsidR="00897DBF" w:rsidRDefault="004903C8">
            <w:pPr>
              <w:spacing w:after="120"/>
              <w:ind w:left="172"/>
              <w:jc w:val="right"/>
              <w:rPr>
                <w:szCs w:val="24"/>
              </w:rPr>
            </w:pPr>
            <w:r>
              <w:rPr>
                <w:szCs w:val="24"/>
              </w:rPr>
              <w:t>4,361.4</w:t>
            </w:r>
          </w:p>
        </w:tc>
      </w:tr>
      <w:tr w:rsidR="004903C8" w:rsidRPr="009643EB" w:rsidTr="00F24974">
        <w:tc>
          <w:tcPr>
            <w:tcW w:w="4201" w:type="dxa"/>
          </w:tcPr>
          <w:p w:rsidR="004903C8" w:rsidRPr="009643EB" w:rsidRDefault="004903C8" w:rsidP="004903C8">
            <w:pPr>
              <w:spacing w:after="120"/>
              <w:rPr>
                <w:szCs w:val="24"/>
              </w:rPr>
            </w:pPr>
            <w:r>
              <w:rPr>
                <w:szCs w:val="24"/>
              </w:rPr>
              <w:t>Investment liabilities</w:t>
            </w:r>
          </w:p>
        </w:tc>
        <w:tc>
          <w:tcPr>
            <w:tcW w:w="1991" w:type="dxa"/>
          </w:tcPr>
          <w:p w:rsidR="004903C8" w:rsidRPr="009643EB" w:rsidRDefault="004903C8" w:rsidP="004903C8">
            <w:pPr>
              <w:tabs>
                <w:tab w:val="left" w:pos="1026"/>
              </w:tabs>
              <w:spacing w:after="120"/>
              <w:jc w:val="center"/>
              <w:rPr>
                <w:szCs w:val="24"/>
              </w:rPr>
            </w:pPr>
            <w:r>
              <w:rPr>
                <w:szCs w:val="24"/>
              </w:rPr>
              <w:t>14</w:t>
            </w:r>
          </w:p>
        </w:tc>
        <w:tc>
          <w:tcPr>
            <w:tcW w:w="1276" w:type="dxa"/>
          </w:tcPr>
          <w:p w:rsidR="00897DBF" w:rsidRDefault="00BA49FC">
            <w:pPr>
              <w:spacing w:after="120"/>
              <w:ind w:left="-249" w:firstLine="249"/>
              <w:jc w:val="right"/>
              <w:rPr>
                <w:szCs w:val="24"/>
              </w:rPr>
            </w:pPr>
            <w:r>
              <w:rPr>
                <w:szCs w:val="24"/>
              </w:rPr>
              <w:t>(1.9)</w:t>
            </w:r>
          </w:p>
        </w:tc>
        <w:tc>
          <w:tcPr>
            <w:tcW w:w="709" w:type="dxa"/>
            <w:tcBorders>
              <w:right w:val="single" w:sz="4" w:space="0" w:color="FFFFFF" w:themeColor="background1"/>
            </w:tcBorders>
          </w:tcPr>
          <w:p w:rsidR="004903C8" w:rsidRPr="009643EB" w:rsidRDefault="004903C8" w:rsidP="004903C8">
            <w:pPr>
              <w:spacing w:after="120"/>
              <w:jc w:val="right"/>
              <w:rPr>
                <w:szCs w:val="24"/>
              </w:rPr>
            </w:pPr>
          </w:p>
        </w:tc>
        <w:tc>
          <w:tcPr>
            <w:tcW w:w="1274" w:type="dxa"/>
            <w:tcBorders>
              <w:left w:val="single" w:sz="4" w:space="0" w:color="FFFFFF" w:themeColor="background1"/>
            </w:tcBorders>
          </w:tcPr>
          <w:p w:rsidR="00897DBF" w:rsidRDefault="004903C8">
            <w:pPr>
              <w:spacing w:after="120"/>
              <w:ind w:left="172"/>
              <w:jc w:val="right"/>
              <w:rPr>
                <w:szCs w:val="24"/>
              </w:rPr>
            </w:pPr>
            <w:r>
              <w:rPr>
                <w:szCs w:val="24"/>
              </w:rPr>
              <w:t>(1.5)</w:t>
            </w:r>
          </w:p>
        </w:tc>
      </w:tr>
      <w:tr w:rsidR="004903C8" w:rsidRPr="009643EB" w:rsidTr="00F24974">
        <w:tc>
          <w:tcPr>
            <w:tcW w:w="4201" w:type="dxa"/>
          </w:tcPr>
          <w:p w:rsidR="004903C8" w:rsidRDefault="004903C8" w:rsidP="004903C8">
            <w:pPr>
              <w:spacing w:after="120"/>
              <w:rPr>
                <w:szCs w:val="24"/>
              </w:rPr>
            </w:pPr>
            <w:r>
              <w:rPr>
                <w:szCs w:val="24"/>
              </w:rPr>
              <w:t>Current assets</w:t>
            </w:r>
          </w:p>
        </w:tc>
        <w:tc>
          <w:tcPr>
            <w:tcW w:w="1991" w:type="dxa"/>
          </w:tcPr>
          <w:p w:rsidR="004903C8" w:rsidRPr="00D63AC4" w:rsidRDefault="004903C8" w:rsidP="004903C8">
            <w:pPr>
              <w:tabs>
                <w:tab w:val="left" w:pos="1026"/>
              </w:tabs>
              <w:spacing w:after="120"/>
              <w:jc w:val="center"/>
              <w:rPr>
                <w:szCs w:val="24"/>
                <w:highlight w:val="yellow"/>
              </w:rPr>
            </w:pPr>
            <w:r w:rsidRPr="00440AB3">
              <w:rPr>
                <w:szCs w:val="24"/>
              </w:rPr>
              <w:t>22</w:t>
            </w:r>
          </w:p>
        </w:tc>
        <w:tc>
          <w:tcPr>
            <w:tcW w:w="1276" w:type="dxa"/>
          </w:tcPr>
          <w:p w:rsidR="00897DBF" w:rsidRDefault="004903C8">
            <w:pPr>
              <w:spacing w:after="120"/>
              <w:ind w:left="-249" w:firstLine="249"/>
              <w:jc w:val="right"/>
              <w:rPr>
                <w:szCs w:val="24"/>
              </w:rPr>
            </w:pPr>
            <w:r>
              <w:rPr>
                <w:szCs w:val="24"/>
              </w:rPr>
              <w:t>31.7</w:t>
            </w:r>
          </w:p>
        </w:tc>
        <w:tc>
          <w:tcPr>
            <w:tcW w:w="709" w:type="dxa"/>
            <w:tcBorders>
              <w:right w:val="single" w:sz="4" w:space="0" w:color="FFFFFF" w:themeColor="background1"/>
            </w:tcBorders>
          </w:tcPr>
          <w:p w:rsidR="004903C8" w:rsidRDefault="004903C8" w:rsidP="004903C8">
            <w:pPr>
              <w:spacing w:after="120"/>
              <w:jc w:val="right"/>
              <w:rPr>
                <w:szCs w:val="24"/>
              </w:rPr>
            </w:pPr>
          </w:p>
        </w:tc>
        <w:tc>
          <w:tcPr>
            <w:tcW w:w="1274" w:type="dxa"/>
            <w:tcBorders>
              <w:left w:val="single" w:sz="4" w:space="0" w:color="FFFFFF" w:themeColor="background1"/>
            </w:tcBorders>
          </w:tcPr>
          <w:p w:rsidR="00897DBF" w:rsidRDefault="004903C8">
            <w:pPr>
              <w:spacing w:after="120"/>
              <w:ind w:left="172"/>
              <w:jc w:val="right"/>
              <w:rPr>
                <w:szCs w:val="24"/>
              </w:rPr>
            </w:pPr>
            <w:r>
              <w:rPr>
                <w:szCs w:val="24"/>
              </w:rPr>
              <w:t>23.3</w:t>
            </w:r>
          </w:p>
        </w:tc>
      </w:tr>
      <w:tr w:rsidR="004903C8" w:rsidRPr="009643EB" w:rsidTr="00F24974">
        <w:tc>
          <w:tcPr>
            <w:tcW w:w="4201" w:type="dxa"/>
          </w:tcPr>
          <w:p w:rsidR="004903C8" w:rsidRDefault="004903C8" w:rsidP="004903C8">
            <w:pPr>
              <w:spacing w:after="120"/>
              <w:rPr>
                <w:szCs w:val="24"/>
              </w:rPr>
            </w:pPr>
            <w:r>
              <w:rPr>
                <w:szCs w:val="24"/>
              </w:rPr>
              <w:t>Current liabilities</w:t>
            </w:r>
          </w:p>
        </w:tc>
        <w:tc>
          <w:tcPr>
            <w:tcW w:w="1991" w:type="dxa"/>
          </w:tcPr>
          <w:p w:rsidR="004903C8" w:rsidRPr="00D63AC4" w:rsidRDefault="004903C8" w:rsidP="004903C8">
            <w:pPr>
              <w:tabs>
                <w:tab w:val="left" w:pos="1026"/>
              </w:tabs>
              <w:spacing w:after="120"/>
              <w:jc w:val="center"/>
              <w:rPr>
                <w:szCs w:val="24"/>
                <w:highlight w:val="yellow"/>
              </w:rPr>
            </w:pPr>
            <w:r w:rsidRPr="00440AB3">
              <w:rPr>
                <w:szCs w:val="24"/>
              </w:rPr>
              <w:t>2</w:t>
            </w:r>
            <w:r>
              <w:rPr>
                <w:szCs w:val="24"/>
              </w:rPr>
              <w:t>4</w:t>
            </w:r>
          </w:p>
        </w:tc>
        <w:tc>
          <w:tcPr>
            <w:tcW w:w="1276" w:type="dxa"/>
            <w:tcBorders>
              <w:bottom w:val="single" w:sz="18" w:space="0" w:color="auto"/>
            </w:tcBorders>
          </w:tcPr>
          <w:p w:rsidR="00897DBF" w:rsidRDefault="004903C8">
            <w:pPr>
              <w:spacing w:after="120"/>
              <w:ind w:left="-249" w:firstLine="249"/>
              <w:jc w:val="right"/>
              <w:rPr>
                <w:szCs w:val="24"/>
              </w:rPr>
            </w:pPr>
            <w:r>
              <w:rPr>
                <w:szCs w:val="24"/>
              </w:rPr>
              <w:t>(9.7)</w:t>
            </w:r>
          </w:p>
        </w:tc>
        <w:tc>
          <w:tcPr>
            <w:tcW w:w="709" w:type="dxa"/>
            <w:tcBorders>
              <w:right w:val="single" w:sz="4" w:space="0" w:color="FFFFFF" w:themeColor="background1"/>
            </w:tcBorders>
          </w:tcPr>
          <w:p w:rsidR="004903C8" w:rsidRDefault="004903C8" w:rsidP="004903C8">
            <w:pPr>
              <w:spacing w:after="120"/>
              <w:jc w:val="right"/>
              <w:rPr>
                <w:szCs w:val="24"/>
              </w:rPr>
            </w:pPr>
          </w:p>
        </w:tc>
        <w:tc>
          <w:tcPr>
            <w:tcW w:w="1274" w:type="dxa"/>
            <w:tcBorders>
              <w:left w:val="single" w:sz="4" w:space="0" w:color="FFFFFF" w:themeColor="background1"/>
              <w:bottom w:val="single" w:sz="18" w:space="0" w:color="auto"/>
            </w:tcBorders>
          </w:tcPr>
          <w:p w:rsidR="00897DBF" w:rsidRDefault="004903C8">
            <w:pPr>
              <w:spacing w:after="120"/>
              <w:ind w:left="172"/>
              <w:jc w:val="right"/>
              <w:rPr>
                <w:szCs w:val="24"/>
              </w:rPr>
            </w:pPr>
            <w:r>
              <w:rPr>
                <w:szCs w:val="24"/>
              </w:rPr>
              <w:t>(3.2)</w:t>
            </w:r>
          </w:p>
        </w:tc>
      </w:tr>
      <w:tr w:rsidR="004903C8" w:rsidRPr="009643EB" w:rsidTr="00F24974">
        <w:tc>
          <w:tcPr>
            <w:tcW w:w="4201" w:type="dxa"/>
          </w:tcPr>
          <w:p w:rsidR="004903C8" w:rsidRDefault="004903C8" w:rsidP="004903C8">
            <w:pPr>
              <w:spacing w:before="120"/>
              <w:rPr>
                <w:szCs w:val="24"/>
              </w:rPr>
            </w:pPr>
            <w:r>
              <w:rPr>
                <w:szCs w:val="24"/>
              </w:rPr>
              <w:t>Net assets of the fund available to fund benefits at the period end</w:t>
            </w:r>
          </w:p>
        </w:tc>
        <w:tc>
          <w:tcPr>
            <w:tcW w:w="1991" w:type="dxa"/>
          </w:tcPr>
          <w:p w:rsidR="004903C8" w:rsidRPr="009643EB" w:rsidRDefault="004903C8" w:rsidP="004903C8">
            <w:pPr>
              <w:spacing w:before="120" w:after="120"/>
              <w:jc w:val="right"/>
              <w:rPr>
                <w:szCs w:val="24"/>
              </w:rPr>
            </w:pPr>
          </w:p>
        </w:tc>
        <w:tc>
          <w:tcPr>
            <w:tcW w:w="1276" w:type="dxa"/>
            <w:tcBorders>
              <w:top w:val="single" w:sz="18" w:space="0" w:color="auto"/>
              <w:bottom w:val="single" w:sz="18" w:space="0" w:color="auto"/>
            </w:tcBorders>
          </w:tcPr>
          <w:p w:rsidR="00897DBF" w:rsidRDefault="004903C8">
            <w:pPr>
              <w:spacing w:before="120" w:after="120"/>
              <w:ind w:left="-249" w:firstLine="249"/>
              <w:jc w:val="right"/>
              <w:rPr>
                <w:szCs w:val="24"/>
              </w:rPr>
            </w:pPr>
            <w:r>
              <w:rPr>
                <w:szCs w:val="24"/>
              </w:rPr>
              <w:t>5,011.0</w:t>
            </w:r>
          </w:p>
        </w:tc>
        <w:tc>
          <w:tcPr>
            <w:tcW w:w="709" w:type="dxa"/>
            <w:tcBorders>
              <w:right w:val="single" w:sz="4" w:space="0" w:color="FFFFFF" w:themeColor="background1"/>
            </w:tcBorders>
          </w:tcPr>
          <w:p w:rsidR="004903C8" w:rsidRDefault="004903C8" w:rsidP="004903C8">
            <w:pPr>
              <w:spacing w:before="120" w:after="120"/>
              <w:rPr>
                <w:szCs w:val="24"/>
              </w:rPr>
            </w:pPr>
          </w:p>
        </w:tc>
        <w:tc>
          <w:tcPr>
            <w:tcW w:w="1274" w:type="dxa"/>
            <w:tcBorders>
              <w:top w:val="single" w:sz="18" w:space="0" w:color="auto"/>
              <w:left w:val="single" w:sz="4" w:space="0" w:color="FFFFFF" w:themeColor="background1"/>
              <w:bottom w:val="single" w:sz="18" w:space="0" w:color="auto"/>
            </w:tcBorders>
          </w:tcPr>
          <w:p w:rsidR="00897DBF" w:rsidRDefault="004903C8">
            <w:pPr>
              <w:spacing w:before="120" w:after="120"/>
              <w:ind w:left="172"/>
              <w:jc w:val="right"/>
              <w:rPr>
                <w:szCs w:val="24"/>
              </w:rPr>
            </w:pPr>
            <w:r>
              <w:rPr>
                <w:szCs w:val="24"/>
              </w:rPr>
              <w:t>4,380.0</w:t>
            </w:r>
          </w:p>
        </w:tc>
      </w:tr>
    </w:tbl>
    <w:p w:rsidR="004903C8" w:rsidRDefault="004903C8" w:rsidP="004903C8"/>
    <w:p w:rsidR="004903C8" w:rsidRPr="00614617" w:rsidRDefault="004903C8" w:rsidP="004903C8"/>
    <w:p w:rsidR="004903C8" w:rsidRPr="00166665" w:rsidRDefault="004903C8" w:rsidP="004903C8">
      <w:pPr>
        <w:rPr>
          <w:szCs w:val="24"/>
        </w:rPr>
      </w:pPr>
      <w:r w:rsidRPr="00166665">
        <w:rPr>
          <w:szCs w:val="24"/>
        </w:rPr>
        <w:t>The Pension Fund's financial statements do not take account of liabilities to pay pensions and other benefits after the period end.</w:t>
      </w:r>
    </w:p>
    <w:p w:rsidR="004903C8" w:rsidRPr="00166665" w:rsidRDefault="004903C8" w:rsidP="004903C8">
      <w:pPr>
        <w:rPr>
          <w:szCs w:val="24"/>
        </w:rPr>
      </w:pPr>
    </w:p>
    <w:p w:rsidR="004903C8" w:rsidRPr="00166665" w:rsidRDefault="004903C8" w:rsidP="004903C8">
      <w:pPr>
        <w:pStyle w:val="Heading3"/>
        <w:rPr>
          <w:b w:val="0"/>
          <w:i w:val="0"/>
          <w:snapToGrid/>
          <w:sz w:val="24"/>
          <w:szCs w:val="24"/>
          <w:u w:val="none"/>
          <w:lang w:eastAsia="en-GB"/>
        </w:rPr>
      </w:pPr>
      <w:r w:rsidRPr="00166665">
        <w:rPr>
          <w:b w:val="0"/>
          <w:i w:val="0"/>
          <w:snapToGrid/>
          <w:sz w:val="24"/>
          <w:szCs w:val="24"/>
          <w:u w:val="none"/>
          <w:lang w:eastAsia="en-GB"/>
        </w:rPr>
        <w:t xml:space="preserve">This statement of accounts is that upon which the auditor should enter his certificate and opinion.  It presents fairly the position of the Lancashire County Pension Fund at 31 March </w:t>
      </w:r>
      <w:r>
        <w:rPr>
          <w:b w:val="0"/>
          <w:i w:val="0"/>
          <w:snapToGrid/>
          <w:sz w:val="24"/>
          <w:szCs w:val="24"/>
          <w:u w:val="none"/>
          <w:lang w:eastAsia="en-GB"/>
        </w:rPr>
        <w:t>2013</w:t>
      </w:r>
      <w:r w:rsidRPr="00166665">
        <w:rPr>
          <w:b w:val="0"/>
          <w:i w:val="0"/>
          <w:snapToGrid/>
          <w:sz w:val="24"/>
          <w:szCs w:val="24"/>
          <w:u w:val="none"/>
          <w:lang w:eastAsia="en-GB"/>
        </w:rPr>
        <w:t xml:space="preserve"> and its income and expenditure for the year then ended.</w:t>
      </w:r>
    </w:p>
    <w:p w:rsidR="004903C8" w:rsidRDefault="004903C8" w:rsidP="004903C8">
      <w:pPr>
        <w:rPr>
          <w:szCs w:val="24"/>
          <w:lang w:eastAsia="en-US"/>
        </w:rPr>
      </w:pPr>
    </w:p>
    <w:p w:rsidR="004903C8" w:rsidRDefault="004903C8" w:rsidP="004903C8">
      <w:pPr>
        <w:rPr>
          <w:szCs w:val="24"/>
          <w:lang w:eastAsia="en-US"/>
        </w:rPr>
      </w:pPr>
    </w:p>
    <w:p w:rsidR="004903C8" w:rsidRDefault="004903C8" w:rsidP="004903C8">
      <w:pPr>
        <w:rPr>
          <w:szCs w:val="24"/>
          <w:lang w:eastAsia="en-US"/>
        </w:rPr>
      </w:pPr>
    </w:p>
    <w:p w:rsidR="004903C8" w:rsidRDefault="004903C8" w:rsidP="004903C8">
      <w:pPr>
        <w:rPr>
          <w:szCs w:val="24"/>
          <w:lang w:eastAsia="en-US"/>
        </w:rPr>
      </w:pPr>
    </w:p>
    <w:p w:rsidR="004903C8" w:rsidRDefault="004903C8" w:rsidP="004903C8">
      <w:pPr>
        <w:rPr>
          <w:szCs w:val="24"/>
          <w:lang w:eastAsia="en-US"/>
        </w:rPr>
      </w:pPr>
    </w:p>
    <w:p w:rsidR="004903C8" w:rsidRPr="00166665" w:rsidRDefault="004903C8" w:rsidP="004903C8">
      <w:pPr>
        <w:rPr>
          <w:szCs w:val="24"/>
          <w:lang w:eastAsia="en-US"/>
        </w:rPr>
      </w:pPr>
    </w:p>
    <w:p w:rsidR="004903C8" w:rsidRPr="00166665" w:rsidRDefault="004903C8" w:rsidP="004903C8">
      <w:pPr>
        <w:rPr>
          <w:szCs w:val="24"/>
          <w:lang w:eastAsia="en-US"/>
        </w:rPr>
      </w:pPr>
    </w:p>
    <w:tbl>
      <w:tblPr>
        <w:tblW w:w="0" w:type="auto"/>
        <w:tblLook w:val="04A0"/>
      </w:tblPr>
      <w:tblGrid>
        <w:gridCol w:w="4926"/>
        <w:gridCol w:w="4927"/>
      </w:tblGrid>
      <w:tr w:rsidR="004903C8" w:rsidRPr="0017515A" w:rsidTr="004903C8">
        <w:tc>
          <w:tcPr>
            <w:tcW w:w="4926" w:type="dxa"/>
          </w:tcPr>
          <w:p w:rsidR="004903C8" w:rsidRPr="004B3393" w:rsidRDefault="004903C8" w:rsidP="004903C8">
            <w:pPr>
              <w:rPr>
                <w:b/>
                <w:szCs w:val="24"/>
                <w:lang w:eastAsia="en-US"/>
              </w:rPr>
            </w:pPr>
            <w:r w:rsidRPr="004B3393">
              <w:rPr>
                <w:b/>
                <w:szCs w:val="24"/>
                <w:lang w:eastAsia="en-US"/>
              </w:rPr>
              <w:t>Gill Kilpatrick CPFA</w:t>
            </w:r>
            <w:r w:rsidRPr="004B3393">
              <w:rPr>
                <w:b/>
                <w:szCs w:val="24"/>
                <w:lang w:eastAsia="en-US"/>
              </w:rPr>
              <w:tab/>
              <w:t xml:space="preserve"> </w:t>
            </w:r>
          </w:p>
        </w:tc>
        <w:tc>
          <w:tcPr>
            <w:tcW w:w="4927" w:type="dxa"/>
          </w:tcPr>
          <w:p w:rsidR="00376AEA" w:rsidRDefault="004903C8">
            <w:pPr>
              <w:rPr>
                <w:b/>
                <w:szCs w:val="24"/>
                <w:lang w:eastAsia="en-US"/>
              </w:rPr>
            </w:pPr>
            <w:r w:rsidRPr="004B3393">
              <w:rPr>
                <w:b/>
                <w:szCs w:val="24"/>
                <w:lang w:eastAsia="en-US"/>
              </w:rPr>
              <w:t>C</w:t>
            </w:r>
            <w:r w:rsidR="00174BE9">
              <w:rPr>
                <w:b/>
                <w:szCs w:val="24"/>
                <w:lang w:eastAsia="en-US"/>
              </w:rPr>
              <w:t>llr</w:t>
            </w:r>
            <w:r w:rsidRPr="004B3393">
              <w:rPr>
                <w:b/>
                <w:szCs w:val="24"/>
                <w:lang w:eastAsia="en-US"/>
              </w:rPr>
              <w:t xml:space="preserve"> </w:t>
            </w:r>
            <w:r>
              <w:rPr>
                <w:b/>
                <w:szCs w:val="24"/>
                <w:lang w:eastAsia="en-US"/>
              </w:rPr>
              <w:t>Clare Pritchard</w:t>
            </w:r>
          </w:p>
        </w:tc>
      </w:tr>
      <w:tr w:rsidR="004903C8" w:rsidRPr="0017515A" w:rsidTr="004903C8">
        <w:tc>
          <w:tcPr>
            <w:tcW w:w="4926" w:type="dxa"/>
          </w:tcPr>
          <w:p w:rsidR="004903C8" w:rsidRPr="004B3393" w:rsidRDefault="004903C8" w:rsidP="004903C8">
            <w:pPr>
              <w:rPr>
                <w:b/>
                <w:szCs w:val="24"/>
                <w:lang w:eastAsia="en-US"/>
              </w:rPr>
            </w:pPr>
          </w:p>
        </w:tc>
        <w:tc>
          <w:tcPr>
            <w:tcW w:w="4927" w:type="dxa"/>
          </w:tcPr>
          <w:p w:rsidR="004903C8" w:rsidRPr="004B3393" w:rsidRDefault="004903C8" w:rsidP="004903C8">
            <w:pPr>
              <w:rPr>
                <w:b/>
                <w:szCs w:val="24"/>
                <w:lang w:eastAsia="en-US"/>
              </w:rPr>
            </w:pPr>
          </w:p>
        </w:tc>
      </w:tr>
      <w:tr w:rsidR="004903C8" w:rsidRPr="0017515A" w:rsidTr="004903C8">
        <w:tc>
          <w:tcPr>
            <w:tcW w:w="4926" w:type="dxa"/>
          </w:tcPr>
          <w:p w:rsidR="004903C8" w:rsidRPr="004B3393" w:rsidRDefault="004903C8" w:rsidP="004903C8">
            <w:pPr>
              <w:rPr>
                <w:b/>
                <w:szCs w:val="24"/>
                <w:lang w:eastAsia="en-US"/>
              </w:rPr>
            </w:pPr>
            <w:r w:rsidRPr="004B3393">
              <w:rPr>
                <w:b/>
                <w:szCs w:val="24"/>
                <w:lang w:eastAsia="en-US"/>
              </w:rPr>
              <w:t>Treasurer to the Lancashire</w:t>
            </w:r>
          </w:p>
          <w:p w:rsidR="004903C8" w:rsidRPr="004B3393" w:rsidRDefault="004903C8" w:rsidP="004903C8">
            <w:pPr>
              <w:rPr>
                <w:b/>
                <w:szCs w:val="24"/>
                <w:lang w:eastAsia="en-US"/>
              </w:rPr>
            </w:pPr>
            <w:r w:rsidRPr="004B3393">
              <w:rPr>
                <w:b/>
                <w:szCs w:val="24"/>
                <w:lang w:eastAsia="en-US"/>
              </w:rPr>
              <w:t>County Pension Fund</w:t>
            </w:r>
          </w:p>
        </w:tc>
        <w:tc>
          <w:tcPr>
            <w:tcW w:w="4927" w:type="dxa"/>
          </w:tcPr>
          <w:p w:rsidR="004903C8" w:rsidRPr="004B3393" w:rsidRDefault="004903C8" w:rsidP="004903C8">
            <w:pPr>
              <w:rPr>
                <w:b/>
                <w:szCs w:val="24"/>
                <w:lang w:eastAsia="en-US"/>
              </w:rPr>
            </w:pPr>
            <w:r w:rsidRPr="004B3393">
              <w:rPr>
                <w:b/>
                <w:szCs w:val="24"/>
                <w:lang w:eastAsia="en-US"/>
              </w:rPr>
              <w:t>Chair of the Audit Committee</w:t>
            </w:r>
          </w:p>
        </w:tc>
      </w:tr>
    </w:tbl>
    <w:p w:rsidR="009A3AFE" w:rsidRPr="00166665" w:rsidRDefault="009A3AFE" w:rsidP="009A3AFE">
      <w:pPr>
        <w:rPr>
          <w:szCs w:val="24"/>
          <w:lang w:eastAsia="en-US"/>
        </w:rPr>
      </w:pPr>
      <w:r w:rsidRPr="00166665">
        <w:rPr>
          <w:szCs w:val="24"/>
          <w:lang w:eastAsia="en-US"/>
        </w:rPr>
        <w:br w:type="page"/>
      </w:r>
    </w:p>
    <w:p w:rsidR="00F332F8" w:rsidRDefault="00F332F8" w:rsidP="009A3AFE">
      <w:pPr>
        <w:pStyle w:val="BodyTextIndent2"/>
        <w:tabs>
          <w:tab w:val="left" w:pos="851"/>
        </w:tabs>
        <w:spacing w:after="0"/>
        <w:ind w:left="851"/>
        <w:rPr>
          <w:szCs w:val="24"/>
        </w:rPr>
      </w:pPr>
    </w:p>
    <w:p w:rsidR="004903C8" w:rsidRPr="00166665" w:rsidRDefault="004903C8" w:rsidP="004903C8">
      <w:pPr>
        <w:pStyle w:val="Heading3"/>
        <w:rPr>
          <w:i w:val="0"/>
          <w:sz w:val="24"/>
          <w:szCs w:val="24"/>
          <w:u w:val="none"/>
        </w:rPr>
      </w:pPr>
      <w:r w:rsidRPr="00166665">
        <w:rPr>
          <w:i w:val="0"/>
          <w:sz w:val="24"/>
          <w:szCs w:val="24"/>
          <w:u w:val="none"/>
        </w:rPr>
        <w:t>Notes to the Financial Statements</w:t>
      </w:r>
    </w:p>
    <w:p w:rsidR="004903C8" w:rsidRPr="00166665" w:rsidRDefault="004903C8" w:rsidP="004903C8">
      <w:pPr>
        <w:rPr>
          <w:szCs w:val="24"/>
        </w:rPr>
      </w:pPr>
    </w:p>
    <w:p w:rsidR="004903C8" w:rsidRPr="00166665" w:rsidRDefault="004903C8" w:rsidP="004903C8">
      <w:pPr>
        <w:numPr>
          <w:ilvl w:val="0"/>
          <w:numId w:val="2"/>
        </w:numPr>
        <w:tabs>
          <w:tab w:val="clear" w:pos="720"/>
          <w:tab w:val="num" w:pos="567"/>
          <w:tab w:val="num" w:pos="862"/>
        </w:tabs>
        <w:spacing w:after="240"/>
        <w:ind w:left="862"/>
        <w:jc w:val="both"/>
        <w:rPr>
          <w:b/>
          <w:szCs w:val="24"/>
        </w:rPr>
      </w:pPr>
      <w:r w:rsidRPr="00166665">
        <w:rPr>
          <w:b/>
          <w:szCs w:val="24"/>
        </w:rPr>
        <w:t xml:space="preserve">Pension Fund Operations and Membership </w:t>
      </w:r>
    </w:p>
    <w:p w:rsidR="004903C8" w:rsidRPr="00166665" w:rsidRDefault="004903C8" w:rsidP="004903C8">
      <w:pPr>
        <w:ind w:left="567"/>
        <w:rPr>
          <w:szCs w:val="24"/>
        </w:rPr>
      </w:pPr>
      <w:r w:rsidRPr="00166665">
        <w:rPr>
          <w:szCs w:val="24"/>
        </w:rPr>
        <w:t>The La</w:t>
      </w:r>
      <w:r>
        <w:rPr>
          <w:szCs w:val="24"/>
        </w:rPr>
        <w:t xml:space="preserve">ncashire County Pension Fund is part of the Local Government Pension Scheme and is </w:t>
      </w:r>
      <w:r w:rsidRPr="00166665">
        <w:rPr>
          <w:szCs w:val="24"/>
        </w:rPr>
        <w:t xml:space="preserve">administered by Lancashire County Council. </w:t>
      </w:r>
      <w:r>
        <w:rPr>
          <w:szCs w:val="24"/>
        </w:rPr>
        <w:t xml:space="preserve">The county council is the reporting entity for this pension fund. </w:t>
      </w:r>
      <w:r w:rsidRPr="00166665">
        <w:rPr>
          <w:szCs w:val="24"/>
        </w:rPr>
        <w:t xml:space="preserve"> </w:t>
      </w:r>
    </w:p>
    <w:p w:rsidR="004903C8" w:rsidRPr="00166665" w:rsidRDefault="004903C8" w:rsidP="004903C8">
      <w:pPr>
        <w:ind w:left="567"/>
        <w:rPr>
          <w:szCs w:val="24"/>
        </w:rPr>
      </w:pPr>
    </w:p>
    <w:p w:rsidR="004903C8" w:rsidRDefault="004903C8" w:rsidP="004903C8">
      <w:pPr>
        <w:ind w:left="567"/>
        <w:jc w:val="both"/>
        <w:rPr>
          <w:szCs w:val="24"/>
        </w:rPr>
      </w:pPr>
      <w:r w:rsidRPr="00301C88">
        <w:rPr>
          <w:szCs w:val="24"/>
        </w:rPr>
        <w:t xml:space="preserve">The published accounts show that in </w:t>
      </w:r>
      <w:r w:rsidRPr="00301C88">
        <w:rPr>
          <w:caps/>
          <w:szCs w:val="24"/>
        </w:rPr>
        <w:t>201</w:t>
      </w:r>
      <w:r>
        <w:rPr>
          <w:caps/>
          <w:szCs w:val="24"/>
        </w:rPr>
        <w:t>2</w:t>
      </w:r>
      <w:r w:rsidRPr="00301C88">
        <w:rPr>
          <w:caps/>
          <w:szCs w:val="24"/>
        </w:rPr>
        <w:t>/1</w:t>
      </w:r>
      <w:r>
        <w:rPr>
          <w:caps/>
          <w:szCs w:val="24"/>
        </w:rPr>
        <w:t>3</w:t>
      </w:r>
      <w:r w:rsidRPr="00301C88">
        <w:rPr>
          <w:szCs w:val="24"/>
        </w:rPr>
        <w:t xml:space="preserve"> cash inflows during the year consisted of £</w:t>
      </w:r>
      <w:r>
        <w:rPr>
          <w:szCs w:val="24"/>
        </w:rPr>
        <w:t>336.5</w:t>
      </w:r>
      <w:r w:rsidRPr="00301C88">
        <w:rPr>
          <w:szCs w:val="24"/>
        </w:rPr>
        <w:t xml:space="preserve"> million and cash outflows were £</w:t>
      </w:r>
      <w:r>
        <w:rPr>
          <w:szCs w:val="24"/>
        </w:rPr>
        <w:t>238.2</w:t>
      </w:r>
      <w:r w:rsidRPr="00301C88">
        <w:rPr>
          <w:szCs w:val="24"/>
        </w:rPr>
        <w:t xml:space="preserve"> million, representing a net cash inflow of £</w:t>
      </w:r>
      <w:r>
        <w:rPr>
          <w:szCs w:val="24"/>
        </w:rPr>
        <w:t>98.3</w:t>
      </w:r>
      <w:r w:rsidRPr="00301C88">
        <w:rPr>
          <w:szCs w:val="24"/>
        </w:rPr>
        <w:t xml:space="preserve"> million (compared with an inflow of £9</w:t>
      </w:r>
      <w:r>
        <w:rPr>
          <w:szCs w:val="24"/>
        </w:rPr>
        <w:t>4</w:t>
      </w:r>
      <w:r w:rsidRPr="00301C88">
        <w:rPr>
          <w:szCs w:val="24"/>
        </w:rPr>
        <w:t>.</w:t>
      </w:r>
      <w:r>
        <w:rPr>
          <w:szCs w:val="24"/>
        </w:rPr>
        <w:t>3</w:t>
      </w:r>
      <w:r w:rsidRPr="00301C88">
        <w:rPr>
          <w:szCs w:val="24"/>
        </w:rPr>
        <w:t xml:space="preserve"> million in the previous year).  Benefits payable amounted to £</w:t>
      </w:r>
      <w:r>
        <w:rPr>
          <w:szCs w:val="24"/>
        </w:rPr>
        <w:t>210.2</w:t>
      </w:r>
      <w:r w:rsidRPr="00301C88">
        <w:rPr>
          <w:szCs w:val="24"/>
        </w:rPr>
        <w:t xml:space="preserve"> million and were </w:t>
      </w:r>
      <w:r>
        <w:rPr>
          <w:szCs w:val="24"/>
        </w:rPr>
        <w:t xml:space="preserve">partially </w:t>
      </w:r>
      <w:r w:rsidRPr="00301C88">
        <w:rPr>
          <w:szCs w:val="24"/>
        </w:rPr>
        <w:t>offset by net investment income of £</w:t>
      </w:r>
      <w:r>
        <w:rPr>
          <w:szCs w:val="24"/>
        </w:rPr>
        <w:t>123.9</w:t>
      </w:r>
      <w:r w:rsidRPr="00301C88">
        <w:rPr>
          <w:szCs w:val="24"/>
        </w:rPr>
        <w:t xml:space="preserve"> million (including £</w:t>
      </w:r>
      <w:r>
        <w:rPr>
          <w:szCs w:val="24"/>
        </w:rPr>
        <w:t>21.6</w:t>
      </w:r>
      <w:r w:rsidRPr="00301C88">
        <w:rPr>
          <w:szCs w:val="24"/>
        </w:rPr>
        <w:t xml:space="preserve"> million accrued dividends); contributions of £</w:t>
      </w:r>
      <w:r>
        <w:rPr>
          <w:szCs w:val="24"/>
        </w:rPr>
        <w:t>202.7</w:t>
      </w:r>
      <w:r w:rsidRPr="00301C88">
        <w:rPr>
          <w:szCs w:val="24"/>
        </w:rPr>
        <w:t xml:space="preserve"> million and transfers in of £</w:t>
      </w:r>
      <w:r>
        <w:rPr>
          <w:szCs w:val="24"/>
        </w:rPr>
        <w:t>9.9</w:t>
      </w:r>
      <w:r w:rsidRPr="00301C88">
        <w:rPr>
          <w:szCs w:val="24"/>
        </w:rPr>
        <w:t xml:space="preserve"> million produced the positive cash inflow.</w:t>
      </w:r>
    </w:p>
    <w:p w:rsidR="004903C8" w:rsidRDefault="004903C8" w:rsidP="004903C8">
      <w:pPr>
        <w:ind w:left="567"/>
        <w:jc w:val="both"/>
        <w:rPr>
          <w:szCs w:val="24"/>
        </w:rPr>
      </w:pPr>
    </w:p>
    <w:p w:rsidR="004903C8" w:rsidRPr="00166665" w:rsidRDefault="004903C8" w:rsidP="004903C8">
      <w:pPr>
        <w:ind w:left="567"/>
        <w:jc w:val="both"/>
        <w:rPr>
          <w:szCs w:val="24"/>
        </w:rPr>
      </w:pPr>
      <w:r w:rsidRPr="00D5450A">
        <w:rPr>
          <w:rFonts w:cs="Arial"/>
          <w:bCs/>
          <w:color w:val="000000"/>
        </w:rPr>
        <w:t xml:space="preserve">The increase in net gain resulted </w:t>
      </w:r>
      <w:r w:rsidR="00A92A09">
        <w:rPr>
          <w:rFonts w:cs="Arial"/>
          <w:bCs/>
          <w:color w:val="000000"/>
        </w:rPr>
        <w:t>from</w:t>
      </w:r>
      <w:r w:rsidRPr="00D5450A">
        <w:rPr>
          <w:rFonts w:cs="Arial"/>
          <w:bCs/>
          <w:color w:val="000000"/>
        </w:rPr>
        <w:t xml:space="preserve"> the fund executing a switch from a domestic equities strategy to a global strategy in October 2012.  Since that date, the US Dollar has appreciated significantly agains</w:t>
      </w:r>
      <w:r>
        <w:rPr>
          <w:rFonts w:cs="Arial"/>
          <w:bCs/>
          <w:color w:val="000000"/>
        </w:rPr>
        <w:t xml:space="preserve">t the Pound. This, </w:t>
      </w:r>
      <w:r w:rsidRPr="00D5450A">
        <w:rPr>
          <w:rFonts w:cs="Arial"/>
          <w:bCs/>
          <w:color w:val="000000"/>
        </w:rPr>
        <w:t>along with long term interest rates which fell slightly whilst credit spreads tightened significantly, lead to an increase in the capital values of fixed-rate securities as the discount rates used to v</w:t>
      </w:r>
      <w:r>
        <w:rPr>
          <w:rFonts w:cs="Arial"/>
          <w:bCs/>
          <w:color w:val="000000"/>
        </w:rPr>
        <w:t xml:space="preserve">alue them fell, </w:t>
      </w:r>
      <w:r w:rsidRPr="00D5450A">
        <w:rPr>
          <w:rFonts w:cs="Arial"/>
          <w:bCs/>
          <w:color w:val="000000"/>
        </w:rPr>
        <w:t>contributing to an additional increase in market value</w:t>
      </w:r>
    </w:p>
    <w:p w:rsidR="004903C8" w:rsidRDefault="004903C8" w:rsidP="004903C8">
      <w:pPr>
        <w:ind w:left="567"/>
      </w:pPr>
    </w:p>
    <w:p w:rsidR="004903C8" w:rsidRPr="00DA1B03" w:rsidRDefault="004903C8" w:rsidP="004903C8">
      <w:pPr>
        <w:pStyle w:val="ListParagraph"/>
        <w:numPr>
          <w:ilvl w:val="0"/>
          <w:numId w:val="38"/>
        </w:numPr>
        <w:ind w:left="993" w:hanging="426"/>
        <w:rPr>
          <w:b/>
        </w:rPr>
      </w:pPr>
      <w:r w:rsidRPr="00DA1B03">
        <w:rPr>
          <w:b/>
        </w:rPr>
        <w:t>General</w:t>
      </w:r>
    </w:p>
    <w:p w:rsidR="004903C8" w:rsidRDefault="004903C8" w:rsidP="004903C8">
      <w:pPr>
        <w:ind w:left="567"/>
        <w:rPr>
          <w:szCs w:val="24"/>
        </w:rPr>
      </w:pPr>
    </w:p>
    <w:p w:rsidR="004903C8" w:rsidRDefault="004903C8" w:rsidP="004903C8">
      <w:pPr>
        <w:ind w:left="567"/>
        <w:rPr>
          <w:szCs w:val="24"/>
        </w:rPr>
      </w:pPr>
      <w:r>
        <w:rPr>
          <w:szCs w:val="24"/>
        </w:rPr>
        <w:t>The fund is governed by the Superannuation Act 1972.  The fund is administered in accordance with the following secondary legislation:</w:t>
      </w:r>
    </w:p>
    <w:p w:rsidR="004903C8" w:rsidRDefault="004903C8" w:rsidP="004903C8">
      <w:pPr>
        <w:ind w:left="567"/>
        <w:rPr>
          <w:szCs w:val="24"/>
        </w:rPr>
      </w:pPr>
    </w:p>
    <w:p w:rsidR="004903C8" w:rsidRDefault="004903C8" w:rsidP="004903C8">
      <w:pPr>
        <w:pStyle w:val="ListParagraph"/>
        <w:numPr>
          <w:ilvl w:val="0"/>
          <w:numId w:val="39"/>
        </w:numPr>
      </w:pPr>
      <w:r>
        <w:t>the LGPS (Benefits, Membership and Contributions) Regulations 2007 (as amended)</w:t>
      </w:r>
    </w:p>
    <w:p w:rsidR="004903C8" w:rsidRDefault="004903C8" w:rsidP="004903C8">
      <w:pPr>
        <w:pStyle w:val="ListParagraph"/>
        <w:numPr>
          <w:ilvl w:val="0"/>
          <w:numId w:val="39"/>
        </w:numPr>
      </w:pPr>
      <w:r>
        <w:t>the LGPS (Administration) Regulations 2008 (as amended)</w:t>
      </w:r>
    </w:p>
    <w:p w:rsidR="004903C8" w:rsidRDefault="004903C8" w:rsidP="004903C8">
      <w:pPr>
        <w:pStyle w:val="ListParagraph"/>
        <w:numPr>
          <w:ilvl w:val="0"/>
          <w:numId w:val="39"/>
        </w:numPr>
      </w:pPr>
      <w:r>
        <w:t>the LGPS (Management and Investment of Funds) Regulations 2009</w:t>
      </w:r>
    </w:p>
    <w:p w:rsidR="004903C8" w:rsidRDefault="004903C8" w:rsidP="004903C8">
      <w:pPr>
        <w:ind w:left="567"/>
      </w:pPr>
    </w:p>
    <w:p w:rsidR="004903C8" w:rsidRDefault="004903C8" w:rsidP="004903C8">
      <w:pPr>
        <w:ind w:left="567"/>
      </w:pPr>
      <w:r>
        <w:t>It is a contributory defined benefit pension scheme administered by Lancashire County Council to provide pensions and other benefits for pensionable employees of Lancashire County Council, the district councils in Lancashire County and a range of other scheduled and admitted bodies within the county area.  Teachers, police officers and firefighters are not included as they come within other national pension schemes.</w:t>
      </w:r>
    </w:p>
    <w:p w:rsidR="004903C8" w:rsidRDefault="004903C8" w:rsidP="004903C8">
      <w:pPr>
        <w:ind w:left="567"/>
      </w:pPr>
    </w:p>
    <w:p w:rsidR="004903C8" w:rsidRDefault="004903C8" w:rsidP="004903C8">
      <w:pPr>
        <w:ind w:left="567"/>
      </w:pPr>
      <w:r w:rsidRPr="00166665">
        <w:rPr>
          <w:szCs w:val="24"/>
        </w:rPr>
        <w:t xml:space="preserve">The investments of the Pension Fund are managed by </w:t>
      </w:r>
      <w:r w:rsidRPr="007A2CB7">
        <w:rPr>
          <w:szCs w:val="24"/>
        </w:rPr>
        <w:t>nine</w:t>
      </w:r>
      <w:r w:rsidRPr="00166665">
        <w:rPr>
          <w:szCs w:val="24"/>
        </w:rPr>
        <w:t xml:space="preserve"> external investment managers.  </w:t>
      </w:r>
      <w:r w:rsidRPr="001411AD">
        <w:rPr>
          <w:szCs w:val="24"/>
        </w:rPr>
        <w:t xml:space="preserve">The asset allocation and policy in respect of the investments of the Fund is determined by the Pension Fund Committee, which meets four times a year with the Investment Panel in attendance.  The Investment Panel </w:t>
      </w:r>
      <w:r>
        <w:rPr>
          <w:szCs w:val="24"/>
        </w:rPr>
        <w:t xml:space="preserve">meet at least quarterly, or otherwise as necessary.  The panel are responsible for making recommendations to the Pension Fund Committee in relation to the investment strategy of the fund as well as monitoring the activities and performance of the investment managers.  Full details of the Panel and Committees responsibilities are published in the Funds Statement of Investment Principles and are available from the Funds website at </w:t>
      </w:r>
      <w:hyperlink r:id="rId28" w:history="1">
        <w:r w:rsidRPr="00226A63">
          <w:rPr>
            <w:rStyle w:val="Hyperlink"/>
          </w:rPr>
          <w:t>http://www.yourpensionservice.org.uk</w:t>
        </w:r>
      </w:hyperlink>
    </w:p>
    <w:p w:rsidR="00476E39" w:rsidRDefault="00476E39" w:rsidP="004903C8">
      <w:pPr>
        <w:ind w:left="567"/>
      </w:pPr>
    </w:p>
    <w:p w:rsidR="00476E39" w:rsidRDefault="00476E39" w:rsidP="004903C8">
      <w:pPr>
        <w:ind w:left="567"/>
      </w:pPr>
    </w:p>
    <w:p w:rsidR="00476E39" w:rsidRDefault="00476E39" w:rsidP="004903C8">
      <w:pPr>
        <w:ind w:left="567"/>
      </w:pPr>
    </w:p>
    <w:p w:rsidR="004903C8" w:rsidRDefault="004903C8" w:rsidP="004903C8">
      <w:pPr>
        <w:ind w:left="567"/>
      </w:pPr>
    </w:p>
    <w:p w:rsidR="004903C8" w:rsidRDefault="004903C8" w:rsidP="004903C8">
      <w:pPr>
        <w:pStyle w:val="ListParagraph"/>
        <w:numPr>
          <w:ilvl w:val="0"/>
          <w:numId w:val="38"/>
        </w:numPr>
        <w:ind w:left="993" w:hanging="426"/>
      </w:pPr>
      <w:r>
        <w:rPr>
          <w:b/>
        </w:rPr>
        <w:t>Membership</w:t>
      </w:r>
    </w:p>
    <w:p w:rsidR="004903C8" w:rsidRPr="00DA1B03" w:rsidRDefault="004903C8" w:rsidP="004903C8">
      <w:pPr>
        <w:ind w:left="567"/>
      </w:pPr>
    </w:p>
    <w:p w:rsidR="004903C8" w:rsidRDefault="004903C8" w:rsidP="004903C8">
      <w:pPr>
        <w:ind w:left="567"/>
        <w:rPr>
          <w:szCs w:val="24"/>
        </w:rPr>
      </w:pPr>
      <w:r>
        <w:rPr>
          <w:szCs w:val="24"/>
        </w:rPr>
        <w:t>Membership of the LGPS is voluntary and employees are free to choose whether to join the scheme, remain in the scheme or make their own personal arrangements outside the scheme.</w:t>
      </w:r>
    </w:p>
    <w:p w:rsidR="004903C8" w:rsidRDefault="004903C8" w:rsidP="004903C8">
      <w:pPr>
        <w:ind w:left="567"/>
        <w:rPr>
          <w:szCs w:val="24"/>
        </w:rPr>
      </w:pPr>
    </w:p>
    <w:p w:rsidR="004903C8" w:rsidRDefault="004903C8" w:rsidP="004903C8">
      <w:pPr>
        <w:ind w:left="567"/>
        <w:rPr>
          <w:szCs w:val="24"/>
        </w:rPr>
      </w:pPr>
      <w:r>
        <w:rPr>
          <w:szCs w:val="24"/>
        </w:rPr>
        <w:t>Organisations participating in the Lancashire County Pension Fund include:</w:t>
      </w:r>
    </w:p>
    <w:p w:rsidR="00F332F8" w:rsidRDefault="00F332F8" w:rsidP="009A3AFE">
      <w:pPr>
        <w:pStyle w:val="BodyTextIndent2"/>
        <w:tabs>
          <w:tab w:val="left" w:pos="851"/>
        </w:tabs>
        <w:spacing w:after="0"/>
        <w:ind w:left="851"/>
        <w:rPr>
          <w:szCs w:val="24"/>
        </w:rPr>
      </w:pPr>
    </w:p>
    <w:p w:rsidR="004903C8" w:rsidRDefault="004903C8" w:rsidP="004903C8">
      <w:pPr>
        <w:pStyle w:val="ListParagraph"/>
        <w:numPr>
          <w:ilvl w:val="0"/>
          <w:numId w:val="40"/>
        </w:numPr>
      </w:pPr>
      <w:r>
        <w:t>Scheduled bodies, which are local authorities and similar bodies whose staff are automatically entitled to be members of the fund.</w:t>
      </w:r>
    </w:p>
    <w:p w:rsidR="004903C8" w:rsidRDefault="004903C8" w:rsidP="004903C8">
      <w:pPr>
        <w:pStyle w:val="ListParagraph"/>
        <w:numPr>
          <w:ilvl w:val="0"/>
          <w:numId w:val="40"/>
        </w:numPr>
      </w:pPr>
      <w:r>
        <w:t>Admitted bodies, which are other organisations that participate in the fund under an admission agreement between the fund and the relevant organisation.  Admitted bodies include voluntary, charitable and similar bodies or private contractors undertaking a local authority function following outsourcing to the private sector.</w:t>
      </w:r>
    </w:p>
    <w:p w:rsidR="004903C8" w:rsidRDefault="004903C8" w:rsidP="004903C8"/>
    <w:p w:rsidR="002747C3" w:rsidRPr="00CA4F44" w:rsidRDefault="002747C3" w:rsidP="004903C8"/>
    <w:p w:rsidR="004903C8" w:rsidRPr="001D5977" w:rsidRDefault="004903C8" w:rsidP="004903C8">
      <w:pPr>
        <w:pStyle w:val="Heading1"/>
        <w:spacing w:before="0" w:after="0"/>
        <w:ind w:left="567"/>
        <w:rPr>
          <w:snapToGrid w:val="0"/>
          <w:color w:val="000000"/>
          <w:kern w:val="0"/>
          <w:sz w:val="24"/>
          <w:szCs w:val="24"/>
          <w:lang w:eastAsia="en-US"/>
        </w:rPr>
      </w:pPr>
      <w:r w:rsidRPr="001D5977">
        <w:rPr>
          <w:snapToGrid w:val="0"/>
          <w:color w:val="000000"/>
          <w:kern w:val="0"/>
          <w:sz w:val="24"/>
          <w:szCs w:val="24"/>
          <w:lang w:eastAsia="en-US"/>
        </w:rPr>
        <w:t>Participation in the Pension Fund</w:t>
      </w:r>
    </w:p>
    <w:p w:rsidR="004903C8" w:rsidRPr="001D5977" w:rsidRDefault="004903C8" w:rsidP="004903C8">
      <w:pPr>
        <w:rPr>
          <w:lang w:eastAsia="en-US"/>
        </w:rPr>
      </w:pPr>
    </w:p>
    <w:tbl>
      <w:tblPr>
        <w:tblStyle w:val="TableGrid"/>
        <w:tblW w:w="0" w:type="auto"/>
        <w:tblInd w:w="675" w:type="dxa"/>
        <w:tblLook w:val="04A0"/>
      </w:tblPr>
      <w:tblGrid>
        <w:gridCol w:w="4111"/>
        <w:gridCol w:w="2552"/>
        <w:gridCol w:w="2268"/>
      </w:tblGrid>
      <w:tr w:rsidR="004903C8" w:rsidTr="004903C8">
        <w:tc>
          <w:tcPr>
            <w:tcW w:w="4111" w:type="dxa"/>
            <w:tcBorders>
              <w:top w:val="single" w:sz="18" w:space="0" w:color="auto"/>
              <w:left w:val="single" w:sz="18" w:space="0" w:color="auto"/>
              <w:bottom w:val="single" w:sz="18" w:space="0" w:color="auto"/>
              <w:right w:val="single" w:sz="18" w:space="0" w:color="auto"/>
            </w:tcBorders>
          </w:tcPr>
          <w:p w:rsidR="004903C8" w:rsidRDefault="004903C8" w:rsidP="004903C8">
            <w:pPr>
              <w:rPr>
                <w:lang w:eastAsia="en-US"/>
              </w:rPr>
            </w:pPr>
          </w:p>
        </w:tc>
        <w:tc>
          <w:tcPr>
            <w:tcW w:w="2552"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rPr>
                <w:b/>
                <w:lang w:eastAsia="en-US"/>
              </w:rPr>
            </w:pPr>
            <w:r w:rsidRPr="001D5977">
              <w:rPr>
                <w:b/>
                <w:lang w:eastAsia="en-US"/>
              </w:rPr>
              <w:t xml:space="preserve">Number at </w:t>
            </w:r>
          </w:p>
          <w:p w:rsidR="004903C8" w:rsidRPr="001D5977" w:rsidRDefault="004903C8" w:rsidP="004903C8">
            <w:pPr>
              <w:rPr>
                <w:b/>
                <w:lang w:eastAsia="en-US"/>
              </w:rPr>
            </w:pPr>
            <w:r w:rsidRPr="001D5977">
              <w:rPr>
                <w:b/>
                <w:lang w:eastAsia="en-US"/>
              </w:rPr>
              <w:t>31 March 201</w:t>
            </w:r>
            <w:r>
              <w:rPr>
                <w:b/>
                <w:lang w:eastAsia="en-US"/>
              </w:rPr>
              <w:t>3</w:t>
            </w:r>
          </w:p>
        </w:tc>
        <w:tc>
          <w:tcPr>
            <w:tcW w:w="2268"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rPr>
                <w:b/>
                <w:lang w:eastAsia="en-US"/>
              </w:rPr>
            </w:pPr>
            <w:r w:rsidRPr="001D5977">
              <w:rPr>
                <w:b/>
                <w:lang w:eastAsia="en-US"/>
              </w:rPr>
              <w:t xml:space="preserve">Number at </w:t>
            </w:r>
          </w:p>
          <w:p w:rsidR="004903C8" w:rsidRPr="001D5977" w:rsidRDefault="004903C8" w:rsidP="004903C8">
            <w:pPr>
              <w:rPr>
                <w:b/>
                <w:lang w:eastAsia="en-US"/>
              </w:rPr>
            </w:pPr>
            <w:r w:rsidRPr="001D5977">
              <w:rPr>
                <w:b/>
                <w:lang w:eastAsia="en-US"/>
              </w:rPr>
              <w:t>31 March 201</w:t>
            </w:r>
            <w:r>
              <w:rPr>
                <w:b/>
                <w:lang w:eastAsia="en-US"/>
              </w:rPr>
              <w:t>2</w:t>
            </w:r>
          </w:p>
        </w:tc>
      </w:tr>
      <w:tr w:rsidR="004903C8" w:rsidTr="004903C8">
        <w:tc>
          <w:tcPr>
            <w:tcW w:w="4111" w:type="dxa"/>
            <w:tcBorders>
              <w:top w:val="single" w:sz="18" w:space="0" w:color="auto"/>
              <w:left w:val="single" w:sz="18" w:space="0" w:color="auto"/>
              <w:bottom w:val="single" w:sz="18" w:space="0" w:color="FFFFFF" w:themeColor="background1"/>
              <w:right w:val="single" w:sz="18" w:space="0" w:color="auto"/>
            </w:tcBorders>
          </w:tcPr>
          <w:p w:rsidR="004903C8" w:rsidRDefault="004903C8" w:rsidP="004903C8">
            <w:pPr>
              <w:pStyle w:val="ListParagraph"/>
              <w:numPr>
                <w:ilvl w:val="0"/>
                <w:numId w:val="25"/>
              </w:numPr>
              <w:ind w:hanging="686"/>
              <w:rPr>
                <w:lang w:eastAsia="en-US"/>
              </w:rPr>
            </w:pPr>
            <w:r>
              <w:rPr>
                <w:lang w:eastAsia="en-US"/>
              </w:rPr>
              <w:t>Active Scheme Members</w:t>
            </w:r>
          </w:p>
          <w:p w:rsidR="004903C8" w:rsidRDefault="004903C8" w:rsidP="004903C8">
            <w:pPr>
              <w:pStyle w:val="ListParagraph"/>
              <w:rPr>
                <w:lang w:eastAsia="en-US"/>
              </w:rPr>
            </w:pPr>
          </w:p>
          <w:p w:rsidR="004903C8" w:rsidRDefault="004903C8" w:rsidP="004903C8">
            <w:pPr>
              <w:pStyle w:val="ListParagraph"/>
              <w:rPr>
                <w:lang w:eastAsia="en-US"/>
              </w:rPr>
            </w:pPr>
            <w:r>
              <w:rPr>
                <w:lang w:eastAsia="en-US"/>
              </w:rPr>
              <w:t>Scheduled Bodies</w:t>
            </w:r>
          </w:p>
        </w:tc>
        <w:tc>
          <w:tcPr>
            <w:tcW w:w="2552" w:type="dxa"/>
            <w:vMerge w:val="restart"/>
            <w:tcBorders>
              <w:top w:val="single" w:sz="18" w:space="0" w:color="auto"/>
              <w:left w:val="single" w:sz="18" w:space="0" w:color="auto"/>
              <w:right w:val="single" w:sz="18" w:space="0" w:color="auto"/>
            </w:tcBorders>
          </w:tcPr>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r>
              <w:rPr>
                <w:lang w:eastAsia="en-US"/>
              </w:rPr>
              <w:t>49,391</w:t>
            </w:r>
          </w:p>
          <w:p w:rsidR="004903C8" w:rsidRDefault="004903C8" w:rsidP="004903C8">
            <w:pPr>
              <w:jc w:val="right"/>
              <w:rPr>
                <w:lang w:eastAsia="en-US"/>
              </w:rPr>
            </w:pPr>
            <w:r>
              <w:rPr>
                <w:lang w:eastAsia="en-US"/>
              </w:rPr>
              <w:t>3,572</w:t>
            </w:r>
          </w:p>
        </w:tc>
        <w:tc>
          <w:tcPr>
            <w:tcW w:w="2268" w:type="dxa"/>
            <w:vMerge w:val="restart"/>
            <w:tcBorders>
              <w:top w:val="single" w:sz="18" w:space="0" w:color="auto"/>
              <w:left w:val="single" w:sz="18" w:space="0" w:color="auto"/>
              <w:right w:val="single" w:sz="18" w:space="0" w:color="auto"/>
            </w:tcBorders>
          </w:tcPr>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r>
              <w:rPr>
                <w:lang w:eastAsia="en-US"/>
              </w:rPr>
              <w:t>46,422</w:t>
            </w:r>
          </w:p>
          <w:p w:rsidR="004903C8" w:rsidRDefault="004903C8" w:rsidP="004903C8">
            <w:pPr>
              <w:jc w:val="right"/>
              <w:rPr>
                <w:lang w:eastAsia="en-US"/>
              </w:rPr>
            </w:pPr>
            <w:r>
              <w:rPr>
                <w:lang w:eastAsia="en-US"/>
              </w:rPr>
              <w:t>3,716</w:t>
            </w:r>
          </w:p>
        </w:tc>
      </w:tr>
      <w:tr w:rsidR="004903C8" w:rsidTr="004903C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4903C8" w:rsidRDefault="004903C8" w:rsidP="004903C8">
            <w:pPr>
              <w:pStyle w:val="ListParagraph"/>
              <w:rPr>
                <w:lang w:eastAsia="en-US"/>
              </w:rPr>
            </w:pPr>
            <w:r>
              <w:rPr>
                <w:lang w:eastAsia="en-US"/>
              </w:rPr>
              <w:t>Admitted Bodies</w:t>
            </w:r>
          </w:p>
        </w:tc>
        <w:tc>
          <w:tcPr>
            <w:tcW w:w="2552" w:type="dxa"/>
            <w:vMerge/>
            <w:tcBorders>
              <w:left w:val="single" w:sz="18" w:space="0" w:color="auto"/>
              <w:bottom w:val="single" w:sz="18" w:space="0" w:color="auto"/>
              <w:right w:val="single" w:sz="18" w:space="0" w:color="auto"/>
            </w:tcBorders>
          </w:tcPr>
          <w:p w:rsidR="004903C8" w:rsidRDefault="004903C8" w:rsidP="004903C8">
            <w:pPr>
              <w:jc w:val="right"/>
              <w:rPr>
                <w:lang w:eastAsia="en-US"/>
              </w:rPr>
            </w:pPr>
          </w:p>
        </w:tc>
        <w:tc>
          <w:tcPr>
            <w:tcW w:w="2268" w:type="dxa"/>
            <w:vMerge/>
            <w:tcBorders>
              <w:left w:val="single" w:sz="18" w:space="0" w:color="auto"/>
              <w:bottom w:val="single" w:sz="18" w:space="0" w:color="auto"/>
              <w:right w:val="single" w:sz="18" w:space="0" w:color="auto"/>
            </w:tcBorders>
          </w:tcPr>
          <w:p w:rsidR="004903C8" w:rsidRDefault="004903C8" w:rsidP="004903C8">
            <w:pPr>
              <w:jc w:val="right"/>
              <w:rPr>
                <w:lang w:eastAsia="en-US"/>
              </w:rPr>
            </w:pPr>
          </w:p>
        </w:tc>
      </w:tr>
      <w:tr w:rsidR="004903C8" w:rsidTr="004903C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4903C8" w:rsidRPr="001D5977" w:rsidRDefault="004903C8" w:rsidP="004903C8">
            <w:pPr>
              <w:pStyle w:val="ListParagraph"/>
              <w:rPr>
                <w:b/>
                <w:lang w:eastAsia="en-US"/>
              </w:rPr>
            </w:pPr>
            <w:r w:rsidRPr="001D5977">
              <w:rPr>
                <w:b/>
                <w:lang w:eastAsia="en-US"/>
              </w:rPr>
              <w:t>Total</w:t>
            </w:r>
          </w:p>
        </w:tc>
        <w:tc>
          <w:tcPr>
            <w:tcW w:w="2552"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jc w:val="right"/>
              <w:rPr>
                <w:b/>
                <w:lang w:eastAsia="en-US"/>
              </w:rPr>
            </w:pPr>
            <w:r>
              <w:rPr>
                <w:b/>
                <w:lang w:eastAsia="en-US"/>
              </w:rPr>
              <w:t>52,963</w:t>
            </w:r>
          </w:p>
        </w:tc>
        <w:tc>
          <w:tcPr>
            <w:tcW w:w="2268"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jc w:val="right"/>
              <w:rPr>
                <w:b/>
                <w:lang w:eastAsia="en-US"/>
              </w:rPr>
            </w:pPr>
            <w:r>
              <w:rPr>
                <w:b/>
                <w:lang w:eastAsia="en-US"/>
              </w:rPr>
              <w:t>50,138</w:t>
            </w:r>
          </w:p>
        </w:tc>
      </w:tr>
      <w:tr w:rsidR="004903C8" w:rsidTr="004903C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4903C8" w:rsidRDefault="004903C8" w:rsidP="004903C8">
            <w:pPr>
              <w:pStyle w:val="ListParagraph"/>
              <w:numPr>
                <w:ilvl w:val="0"/>
                <w:numId w:val="25"/>
              </w:numPr>
              <w:spacing w:before="240"/>
              <w:ind w:hanging="686"/>
              <w:rPr>
                <w:lang w:eastAsia="en-US"/>
              </w:rPr>
            </w:pPr>
            <w:r>
              <w:rPr>
                <w:lang w:eastAsia="en-US"/>
              </w:rPr>
              <w:t>Pensioners</w:t>
            </w:r>
          </w:p>
          <w:p w:rsidR="004903C8" w:rsidRDefault="004903C8" w:rsidP="004903C8">
            <w:pPr>
              <w:pStyle w:val="ListParagraph"/>
              <w:rPr>
                <w:lang w:eastAsia="en-US"/>
              </w:rPr>
            </w:pPr>
          </w:p>
          <w:p w:rsidR="004903C8" w:rsidRDefault="004903C8" w:rsidP="004903C8">
            <w:pPr>
              <w:pStyle w:val="ListParagraph"/>
              <w:rPr>
                <w:lang w:eastAsia="en-US"/>
              </w:rPr>
            </w:pPr>
            <w:r>
              <w:rPr>
                <w:lang w:eastAsia="en-US"/>
              </w:rPr>
              <w:t>Pensions in Payment</w:t>
            </w:r>
          </w:p>
        </w:tc>
        <w:tc>
          <w:tcPr>
            <w:tcW w:w="2552" w:type="dxa"/>
            <w:vMerge w:val="restart"/>
            <w:tcBorders>
              <w:top w:val="single" w:sz="18" w:space="0" w:color="FFFFFF" w:themeColor="background1"/>
              <w:left w:val="single" w:sz="18" w:space="0" w:color="auto"/>
              <w:right w:val="single" w:sz="18" w:space="0" w:color="auto"/>
            </w:tcBorders>
          </w:tcPr>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r>
              <w:rPr>
                <w:lang w:eastAsia="en-US"/>
              </w:rPr>
              <w:t>40,885</w:t>
            </w:r>
          </w:p>
          <w:p w:rsidR="004903C8" w:rsidRDefault="004903C8" w:rsidP="004903C8">
            <w:pPr>
              <w:jc w:val="right"/>
              <w:rPr>
                <w:lang w:eastAsia="en-US"/>
              </w:rPr>
            </w:pPr>
            <w:r>
              <w:rPr>
                <w:lang w:eastAsia="en-US"/>
              </w:rPr>
              <w:t>49,837</w:t>
            </w:r>
          </w:p>
        </w:tc>
        <w:tc>
          <w:tcPr>
            <w:tcW w:w="2268" w:type="dxa"/>
            <w:vMerge w:val="restart"/>
            <w:tcBorders>
              <w:top w:val="single" w:sz="18" w:space="0" w:color="FFFFFF" w:themeColor="background1"/>
              <w:left w:val="single" w:sz="18" w:space="0" w:color="auto"/>
              <w:right w:val="single" w:sz="18" w:space="0" w:color="auto"/>
            </w:tcBorders>
          </w:tcPr>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p>
          <w:p w:rsidR="004903C8" w:rsidRDefault="004903C8" w:rsidP="004903C8">
            <w:pPr>
              <w:jc w:val="right"/>
              <w:rPr>
                <w:lang w:eastAsia="en-US"/>
              </w:rPr>
            </w:pPr>
            <w:r>
              <w:rPr>
                <w:lang w:eastAsia="en-US"/>
              </w:rPr>
              <w:t>39,933</w:t>
            </w:r>
          </w:p>
          <w:p w:rsidR="004903C8" w:rsidRDefault="004903C8" w:rsidP="004903C8">
            <w:pPr>
              <w:jc w:val="right"/>
              <w:rPr>
                <w:lang w:eastAsia="en-US"/>
              </w:rPr>
            </w:pPr>
            <w:r>
              <w:rPr>
                <w:lang w:eastAsia="en-US"/>
              </w:rPr>
              <w:t>47,526</w:t>
            </w:r>
          </w:p>
        </w:tc>
      </w:tr>
      <w:tr w:rsidR="004903C8" w:rsidTr="004903C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4903C8" w:rsidRDefault="004903C8" w:rsidP="004903C8">
            <w:pPr>
              <w:pStyle w:val="ListParagraph"/>
              <w:rPr>
                <w:lang w:eastAsia="en-US"/>
              </w:rPr>
            </w:pPr>
            <w:r>
              <w:rPr>
                <w:lang w:eastAsia="en-US"/>
              </w:rPr>
              <w:t>Preserved Pensions</w:t>
            </w:r>
          </w:p>
        </w:tc>
        <w:tc>
          <w:tcPr>
            <w:tcW w:w="2552" w:type="dxa"/>
            <w:vMerge/>
            <w:tcBorders>
              <w:left w:val="single" w:sz="18" w:space="0" w:color="auto"/>
              <w:bottom w:val="single" w:sz="18" w:space="0" w:color="auto"/>
              <w:right w:val="single" w:sz="18" w:space="0" w:color="auto"/>
            </w:tcBorders>
          </w:tcPr>
          <w:p w:rsidR="004903C8" w:rsidRDefault="004903C8" w:rsidP="004903C8">
            <w:pPr>
              <w:jc w:val="right"/>
              <w:rPr>
                <w:lang w:eastAsia="en-US"/>
              </w:rPr>
            </w:pPr>
          </w:p>
        </w:tc>
        <w:tc>
          <w:tcPr>
            <w:tcW w:w="2268" w:type="dxa"/>
            <w:vMerge/>
            <w:tcBorders>
              <w:left w:val="single" w:sz="18" w:space="0" w:color="auto"/>
              <w:bottom w:val="single" w:sz="18" w:space="0" w:color="auto"/>
              <w:right w:val="single" w:sz="18" w:space="0" w:color="auto"/>
            </w:tcBorders>
          </w:tcPr>
          <w:p w:rsidR="004903C8" w:rsidRDefault="004903C8" w:rsidP="004903C8">
            <w:pPr>
              <w:jc w:val="right"/>
              <w:rPr>
                <w:lang w:eastAsia="en-US"/>
              </w:rPr>
            </w:pPr>
          </w:p>
        </w:tc>
      </w:tr>
      <w:tr w:rsidR="004903C8" w:rsidRPr="001D5977" w:rsidTr="004903C8">
        <w:tc>
          <w:tcPr>
            <w:tcW w:w="4111" w:type="dxa"/>
            <w:tcBorders>
              <w:top w:val="single" w:sz="18" w:space="0" w:color="FFFFFF" w:themeColor="background1"/>
              <w:left w:val="single" w:sz="18" w:space="0" w:color="auto"/>
              <w:bottom w:val="single" w:sz="18" w:space="0" w:color="auto"/>
              <w:right w:val="single" w:sz="18" w:space="0" w:color="auto"/>
            </w:tcBorders>
          </w:tcPr>
          <w:p w:rsidR="004903C8" w:rsidRPr="001D5977" w:rsidRDefault="004903C8" w:rsidP="004903C8">
            <w:pPr>
              <w:pStyle w:val="ListParagraph"/>
              <w:rPr>
                <w:b/>
                <w:lang w:eastAsia="en-US"/>
              </w:rPr>
            </w:pPr>
            <w:r w:rsidRPr="001D5977">
              <w:rPr>
                <w:b/>
                <w:lang w:eastAsia="en-US"/>
              </w:rPr>
              <w:t>Total</w:t>
            </w:r>
          </w:p>
        </w:tc>
        <w:tc>
          <w:tcPr>
            <w:tcW w:w="2552"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jc w:val="right"/>
              <w:rPr>
                <w:b/>
                <w:lang w:eastAsia="en-US"/>
              </w:rPr>
            </w:pPr>
            <w:r>
              <w:rPr>
                <w:b/>
                <w:lang w:eastAsia="en-US"/>
              </w:rPr>
              <w:t>90,722</w:t>
            </w:r>
          </w:p>
        </w:tc>
        <w:tc>
          <w:tcPr>
            <w:tcW w:w="2268" w:type="dxa"/>
            <w:tcBorders>
              <w:top w:val="single" w:sz="18" w:space="0" w:color="auto"/>
              <w:left w:val="single" w:sz="18" w:space="0" w:color="auto"/>
              <w:bottom w:val="single" w:sz="18" w:space="0" w:color="auto"/>
              <w:right w:val="single" w:sz="18" w:space="0" w:color="auto"/>
            </w:tcBorders>
          </w:tcPr>
          <w:p w:rsidR="004903C8" w:rsidRPr="001D5977" w:rsidRDefault="004903C8" w:rsidP="004903C8">
            <w:pPr>
              <w:jc w:val="right"/>
              <w:rPr>
                <w:b/>
                <w:lang w:eastAsia="en-US"/>
              </w:rPr>
            </w:pPr>
            <w:r>
              <w:rPr>
                <w:b/>
                <w:lang w:eastAsia="en-US"/>
              </w:rPr>
              <w:t>87,459</w:t>
            </w:r>
          </w:p>
        </w:tc>
      </w:tr>
    </w:tbl>
    <w:p w:rsidR="004903C8" w:rsidRDefault="004903C8" w:rsidP="004903C8"/>
    <w:p w:rsidR="004903C8" w:rsidRDefault="004903C8" w:rsidP="004903C8">
      <w:pPr>
        <w:ind w:left="360"/>
      </w:pPr>
    </w:p>
    <w:p w:rsidR="004903C8" w:rsidRDefault="004903C8" w:rsidP="004903C8">
      <w:pPr>
        <w:pStyle w:val="ListParagraph"/>
        <w:numPr>
          <w:ilvl w:val="0"/>
          <w:numId w:val="38"/>
        </w:numPr>
        <w:ind w:left="709"/>
        <w:rPr>
          <w:b/>
        </w:rPr>
      </w:pPr>
      <w:r w:rsidRPr="000B6D62">
        <w:rPr>
          <w:b/>
        </w:rPr>
        <w:t>Funding</w:t>
      </w:r>
    </w:p>
    <w:p w:rsidR="004903C8" w:rsidRDefault="004903C8" w:rsidP="004903C8">
      <w:pPr>
        <w:ind w:left="709"/>
      </w:pPr>
    </w:p>
    <w:p w:rsidR="004903C8" w:rsidRDefault="004903C8" w:rsidP="004903C8">
      <w:pPr>
        <w:ind w:left="709"/>
      </w:pPr>
      <w:r w:rsidRPr="000B6D62">
        <w:t>Benefits</w:t>
      </w:r>
      <w:r>
        <w:t xml:space="preserve"> are funded by contributions and investment earnings.  Contributions are made by active members of the fund in accordance with the LGPS (Benefits, Membership and Contributions) Regulations 2007 and range from 5.5% to 7.5% of pensionable pay for the financial year ending 31 March 2013.  Employee contributions are matched by employers' contributions which are set based on triennial actuarial funding valuations.  The last such valuation was at 31 March 2010.  Currently employer contributions range from 8.6% to 70.3% of pensionable pay.</w:t>
      </w:r>
    </w:p>
    <w:p w:rsidR="002747C3" w:rsidRDefault="002747C3" w:rsidP="004903C8">
      <w:pPr>
        <w:ind w:left="709"/>
      </w:pPr>
    </w:p>
    <w:p w:rsidR="004903C8" w:rsidRDefault="004903C8" w:rsidP="004903C8">
      <w:pPr>
        <w:ind w:left="709"/>
      </w:pPr>
    </w:p>
    <w:p w:rsidR="00897DBF" w:rsidRDefault="004903C8">
      <w:pPr>
        <w:pStyle w:val="ListParagraph"/>
        <w:numPr>
          <w:ilvl w:val="0"/>
          <w:numId w:val="38"/>
        </w:numPr>
        <w:ind w:left="993" w:hanging="426"/>
        <w:rPr>
          <w:b/>
        </w:rPr>
      </w:pPr>
      <w:r w:rsidRPr="00445A0E">
        <w:rPr>
          <w:b/>
        </w:rPr>
        <w:t>Benefits</w:t>
      </w:r>
    </w:p>
    <w:p w:rsidR="004903C8" w:rsidRDefault="004903C8" w:rsidP="004903C8">
      <w:pPr>
        <w:ind w:left="720"/>
        <w:rPr>
          <w:b/>
        </w:rPr>
      </w:pPr>
    </w:p>
    <w:p w:rsidR="004903C8" w:rsidRDefault="004903C8" w:rsidP="004903C8">
      <w:pPr>
        <w:ind w:left="720"/>
      </w:pPr>
      <w:r w:rsidRPr="00445A0E">
        <w:t>Pension benefits under the LGPS</w:t>
      </w:r>
      <w:r>
        <w:t xml:space="preserve"> are based on final pensionable pay and length of pensionable service </w:t>
      </w:r>
      <w:r w:rsidR="00476E39">
        <w:t>in the following summary</w:t>
      </w:r>
      <w:r>
        <w:t>:</w:t>
      </w:r>
    </w:p>
    <w:p w:rsidR="00AB5F81" w:rsidRDefault="00AB5F81" w:rsidP="004903C8">
      <w:pPr>
        <w:ind w:left="720"/>
      </w:pPr>
    </w:p>
    <w:p w:rsidR="004903C8" w:rsidRDefault="004903C8" w:rsidP="004903C8">
      <w:pPr>
        <w:ind w:left="720"/>
      </w:pPr>
    </w:p>
    <w:p w:rsidR="009A3AFE" w:rsidRPr="00C44323" w:rsidRDefault="009A3AFE" w:rsidP="009A3AFE">
      <w:pPr>
        <w:ind w:left="1113"/>
        <w:rPr>
          <w:szCs w:val="24"/>
        </w:rPr>
      </w:pPr>
    </w:p>
    <w:tbl>
      <w:tblPr>
        <w:tblStyle w:val="TableGrid"/>
        <w:tblW w:w="0" w:type="auto"/>
        <w:tblInd w:w="720" w:type="dxa"/>
        <w:tblLook w:val="04A0"/>
      </w:tblPr>
      <w:tblGrid>
        <w:gridCol w:w="1787"/>
        <w:gridCol w:w="3927"/>
        <w:gridCol w:w="4150"/>
      </w:tblGrid>
      <w:tr w:rsidR="002747C3" w:rsidRPr="00445A0E" w:rsidTr="003056E9">
        <w:trPr>
          <w:trHeight w:val="521"/>
        </w:trPr>
        <w:tc>
          <w:tcPr>
            <w:tcW w:w="1798" w:type="dxa"/>
          </w:tcPr>
          <w:p w:rsidR="002747C3" w:rsidRDefault="002747C3" w:rsidP="003056E9"/>
        </w:tc>
        <w:tc>
          <w:tcPr>
            <w:tcW w:w="3969" w:type="dxa"/>
          </w:tcPr>
          <w:p w:rsidR="002747C3" w:rsidRPr="00445A0E" w:rsidRDefault="002747C3" w:rsidP="003056E9">
            <w:pPr>
              <w:rPr>
                <w:b/>
              </w:rPr>
            </w:pPr>
            <w:r w:rsidRPr="00445A0E">
              <w:rPr>
                <w:b/>
              </w:rPr>
              <w:t>Service Pre 1 April 2008</w:t>
            </w:r>
          </w:p>
        </w:tc>
        <w:tc>
          <w:tcPr>
            <w:tcW w:w="4195" w:type="dxa"/>
          </w:tcPr>
          <w:p w:rsidR="002747C3" w:rsidRPr="00445A0E" w:rsidRDefault="002747C3" w:rsidP="003056E9">
            <w:pPr>
              <w:rPr>
                <w:b/>
              </w:rPr>
            </w:pPr>
            <w:r w:rsidRPr="00445A0E">
              <w:rPr>
                <w:b/>
              </w:rPr>
              <w:t>Service post 31 March 2008</w:t>
            </w:r>
          </w:p>
        </w:tc>
      </w:tr>
      <w:tr w:rsidR="002747C3" w:rsidTr="003056E9">
        <w:trPr>
          <w:trHeight w:val="841"/>
        </w:trPr>
        <w:tc>
          <w:tcPr>
            <w:tcW w:w="1798" w:type="dxa"/>
          </w:tcPr>
          <w:p w:rsidR="002747C3" w:rsidRPr="00763799" w:rsidRDefault="002747C3" w:rsidP="003056E9">
            <w:pPr>
              <w:rPr>
                <w:b/>
              </w:rPr>
            </w:pPr>
            <w:r w:rsidRPr="00763799">
              <w:rPr>
                <w:b/>
              </w:rPr>
              <w:t>Pension</w:t>
            </w:r>
          </w:p>
        </w:tc>
        <w:tc>
          <w:tcPr>
            <w:tcW w:w="3969" w:type="dxa"/>
          </w:tcPr>
          <w:p w:rsidR="002747C3" w:rsidRDefault="002747C3" w:rsidP="003056E9">
            <w:r>
              <w:t>Each year worked is worth 1/80 x final pensionable salary</w:t>
            </w:r>
          </w:p>
        </w:tc>
        <w:tc>
          <w:tcPr>
            <w:tcW w:w="4195" w:type="dxa"/>
          </w:tcPr>
          <w:p w:rsidR="002747C3" w:rsidRDefault="002747C3" w:rsidP="003056E9">
            <w:r>
              <w:t>Each year worked is worth 1/60 x final pensionable salary</w:t>
            </w:r>
          </w:p>
        </w:tc>
      </w:tr>
      <w:tr w:rsidR="002747C3" w:rsidTr="003056E9">
        <w:trPr>
          <w:trHeight w:val="1972"/>
        </w:trPr>
        <w:tc>
          <w:tcPr>
            <w:tcW w:w="1798" w:type="dxa"/>
          </w:tcPr>
          <w:p w:rsidR="002747C3" w:rsidRPr="00763799" w:rsidRDefault="002747C3" w:rsidP="003056E9">
            <w:pPr>
              <w:rPr>
                <w:b/>
              </w:rPr>
            </w:pPr>
            <w:r w:rsidRPr="00763799">
              <w:rPr>
                <w:b/>
              </w:rPr>
              <w:t>Lump sum</w:t>
            </w:r>
          </w:p>
        </w:tc>
        <w:tc>
          <w:tcPr>
            <w:tcW w:w="3969" w:type="dxa"/>
          </w:tcPr>
          <w:p w:rsidR="002747C3" w:rsidRDefault="002747C3" w:rsidP="003056E9">
            <w:r>
              <w:t>Automatic lump sum of 3 x salary.</w:t>
            </w:r>
          </w:p>
          <w:p w:rsidR="002747C3" w:rsidRDefault="002747C3" w:rsidP="003056E9">
            <w:r>
              <w:t>In addition, part of the annual pension can be exchanged for a one-off tax free cash payment.  A lump sum of £12 is paid for each £1 of pension given up</w:t>
            </w:r>
          </w:p>
        </w:tc>
        <w:tc>
          <w:tcPr>
            <w:tcW w:w="4195" w:type="dxa"/>
          </w:tcPr>
          <w:p w:rsidR="002747C3" w:rsidRDefault="002747C3" w:rsidP="003056E9">
            <w:r>
              <w:t>No automatic lump sum.</w:t>
            </w:r>
          </w:p>
          <w:p w:rsidR="002747C3" w:rsidRDefault="002747C3" w:rsidP="003056E9">
            <w:r>
              <w:t>Part of the annual pension can be exchanged for a one-off tax free cash payment.  A lump sum of £12 is paid for each £1 of pension given up</w:t>
            </w:r>
          </w:p>
        </w:tc>
      </w:tr>
    </w:tbl>
    <w:p w:rsidR="007C06DD" w:rsidRPr="007A07AD" w:rsidRDefault="007C06DD" w:rsidP="009A3AFE">
      <w:pPr>
        <w:ind w:left="720"/>
        <w:rPr>
          <w:szCs w:val="24"/>
        </w:rPr>
      </w:pPr>
    </w:p>
    <w:p w:rsidR="009A3AFE" w:rsidRDefault="009A3AFE" w:rsidP="009A3AFE">
      <w:pPr>
        <w:rPr>
          <w:szCs w:val="24"/>
        </w:rPr>
      </w:pPr>
    </w:p>
    <w:p w:rsidR="002747C3" w:rsidRDefault="002747C3" w:rsidP="002747C3">
      <w:pPr>
        <w:ind w:left="720"/>
      </w:pPr>
      <w:r>
        <w:t xml:space="preserve">There are a range of other benefits provided under the scheme including early retirement, disability pensions and death benefits.  </w:t>
      </w:r>
    </w:p>
    <w:p w:rsidR="002747C3" w:rsidRDefault="002747C3" w:rsidP="002747C3">
      <w:pPr>
        <w:ind w:left="720"/>
      </w:pPr>
    </w:p>
    <w:p w:rsidR="002747C3" w:rsidRDefault="002747C3" w:rsidP="002747C3">
      <w:pPr>
        <w:ind w:left="720"/>
      </w:pPr>
      <w:r>
        <w:t>Benefits are index-linked in order to keep pace with inflation.  In June 2010, the government announced that the method of indexation would change from the retail price index to the consumer price index.  This change took effect from 1 April 2011.</w:t>
      </w:r>
    </w:p>
    <w:p w:rsidR="002747C3" w:rsidRDefault="002747C3" w:rsidP="002747C3">
      <w:pPr>
        <w:ind w:left="720"/>
      </w:pPr>
    </w:p>
    <w:p w:rsidR="002747C3" w:rsidRDefault="002747C3" w:rsidP="002747C3">
      <w:pPr>
        <w:ind w:left="720"/>
        <w:rPr>
          <w:b/>
        </w:rPr>
      </w:pPr>
      <w:r w:rsidRPr="00502F51">
        <w:rPr>
          <w:b/>
        </w:rPr>
        <w:t>LGPS 2014</w:t>
      </w:r>
    </w:p>
    <w:p w:rsidR="002747C3" w:rsidRDefault="002747C3" w:rsidP="002747C3">
      <w:pPr>
        <w:pStyle w:val="Pa0"/>
        <w:ind w:left="709"/>
        <w:rPr>
          <w:rFonts w:ascii="Arial" w:eastAsia="Times New Roman" w:hAnsi="Arial" w:cs="Times New Roman"/>
          <w:szCs w:val="20"/>
          <w:lang w:eastAsia="en-GB"/>
        </w:rPr>
      </w:pP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A Statutory Consultation started on 21 December 2012 on new benefit regulations for the Local Government Pension Scheme (LGPS) from 1 April 2014. A number of further consultations have followed with the intention of having a new LGPS in place by 1 April 2014. This new Scheme will reflect the provisions of the Public Service Pensions Bill which having worked its way through Parliament reached Royal Assent on 25 April 2013.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The main provisions of the new LGPS 2014 are:</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The Scheme will be a Career Average Re-valued Earnings (CARE) Scheme with an accrual rate of 1/49th.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The Scheme will be re-valued in line with Consumer Price Index (CPI).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Pay will include non-contractual overtime and for part time staff pay will include additional hours.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Flexibility in contributions will mean an optional arrangement allowing 50% of main benefits to be accrued by paying a 50% contribution rate. </w:t>
      </w:r>
    </w:p>
    <w:p w:rsidR="002747C3" w:rsidRPr="00502F51"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Normal Pension age will be the same as the individual member’s State Pension Age (minimum 65). </w:t>
      </w:r>
    </w:p>
    <w:p w:rsidR="002747C3" w:rsidRPr="00502F51" w:rsidRDefault="002747C3" w:rsidP="002747C3">
      <w:pPr>
        <w:pStyle w:val="Default"/>
        <w:ind w:left="709"/>
        <w:rPr>
          <w:rFonts w:cs="Times New Roman"/>
          <w:color w:val="auto"/>
          <w:szCs w:val="20"/>
        </w:rPr>
      </w:pPr>
    </w:p>
    <w:p w:rsidR="002747C3" w:rsidRDefault="002747C3" w:rsidP="002747C3">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The next step of the ongoing statutory consultation process is to ensure that the regulations covering the protections for current scheme members (known as the</w:t>
      </w:r>
    </w:p>
    <w:p w:rsidR="002747C3" w:rsidRPr="00502F51" w:rsidRDefault="002747C3" w:rsidP="002747C3">
      <w:pPr>
        <w:pStyle w:val="Pa0"/>
        <w:ind w:left="709"/>
        <w:rPr>
          <w:rFonts w:ascii="Arial" w:eastAsia="Times New Roman" w:hAnsi="Arial" w:cs="Times New Roman"/>
          <w:szCs w:val="20"/>
          <w:lang w:eastAsia="en-GB"/>
        </w:rPr>
      </w:pPr>
      <w:proofErr w:type="gramStart"/>
      <w:r w:rsidRPr="00502F51">
        <w:rPr>
          <w:rFonts w:ascii="Arial" w:eastAsia="Times New Roman" w:hAnsi="Arial" w:cs="Times New Roman"/>
          <w:szCs w:val="20"/>
          <w:lang w:eastAsia="en-GB"/>
        </w:rPr>
        <w:t>transitional</w:t>
      </w:r>
      <w:proofErr w:type="gramEnd"/>
      <w:r w:rsidRPr="00502F51">
        <w:rPr>
          <w:rFonts w:ascii="Arial" w:eastAsia="Times New Roman" w:hAnsi="Arial" w:cs="Times New Roman"/>
          <w:szCs w:val="20"/>
          <w:lang w:eastAsia="en-GB"/>
        </w:rPr>
        <w:t xml:space="preserve"> regulations) are in place. These regulations describe how the move from current to new rules take place and set the foundations for protections. In particular protections will include a final salary link and protected retirement age for benefits built up to March 2014. </w:t>
      </w:r>
    </w:p>
    <w:p w:rsidR="002747C3" w:rsidRPr="00502F51" w:rsidRDefault="002747C3" w:rsidP="002747C3">
      <w:pPr>
        <w:ind w:left="709"/>
      </w:pPr>
      <w:r w:rsidRPr="00502F51">
        <w:t xml:space="preserve">Over the forthcoming year the </w:t>
      </w:r>
      <w:r>
        <w:t>Fund</w:t>
      </w:r>
      <w:r w:rsidRPr="00502F51">
        <w:t xml:space="preserve"> will be putting together a comprehensive communications plan in order to keep scheme members informed of these changes. </w:t>
      </w:r>
    </w:p>
    <w:p w:rsidR="002747C3" w:rsidRDefault="002747C3" w:rsidP="002747C3">
      <w:pPr>
        <w:ind w:left="720"/>
      </w:pPr>
    </w:p>
    <w:p w:rsidR="002747C3" w:rsidRPr="00763799" w:rsidRDefault="002747C3" w:rsidP="002747C3">
      <w:pPr>
        <w:ind w:left="720"/>
      </w:pPr>
    </w:p>
    <w:p w:rsidR="002747C3" w:rsidRPr="00646918" w:rsidRDefault="002747C3" w:rsidP="002747C3">
      <w:pPr>
        <w:pStyle w:val="ListParagraph"/>
        <w:numPr>
          <w:ilvl w:val="0"/>
          <w:numId w:val="2"/>
        </w:numPr>
        <w:tabs>
          <w:tab w:val="clear" w:pos="720"/>
          <w:tab w:val="left" w:pos="567"/>
          <w:tab w:val="num" w:pos="862"/>
        </w:tabs>
        <w:ind w:left="862"/>
        <w:jc w:val="both"/>
        <w:rPr>
          <w:b/>
        </w:rPr>
      </w:pPr>
      <w:r w:rsidRPr="00646918">
        <w:rPr>
          <w:b/>
        </w:rPr>
        <w:t xml:space="preserve">Basis of Preparation </w:t>
      </w:r>
    </w:p>
    <w:p w:rsidR="002747C3" w:rsidRPr="005E107A" w:rsidRDefault="002747C3" w:rsidP="002747C3">
      <w:pPr>
        <w:tabs>
          <w:tab w:val="left" w:pos="567"/>
        </w:tabs>
        <w:jc w:val="both"/>
        <w:rPr>
          <w:b/>
          <w:szCs w:val="24"/>
        </w:rPr>
      </w:pPr>
    </w:p>
    <w:p w:rsidR="002747C3" w:rsidRDefault="002747C3" w:rsidP="002747C3">
      <w:pPr>
        <w:pStyle w:val="BodyTextIndent"/>
        <w:spacing w:after="0"/>
        <w:ind w:left="567"/>
        <w:rPr>
          <w:szCs w:val="24"/>
        </w:rPr>
      </w:pPr>
      <w:r>
        <w:rPr>
          <w:szCs w:val="24"/>
        </w:rPr>
        <w:t>The Statement of Accounts summarises the fund's transactions for the 2012/13 financial year and its position at year-end as at 31 March 2013.  The accounts</w:t>
      </w:r>
      <w:r w:rsidRPr="00E869DD">
        <w:rPr>
          <w:szCs w:val="24"/>
        </w:rPr>
        <w:t xml:space="preserve"> have been prepared in accordance </w:t>
      </w:r>
      <w:r>
        <w:rPr>
          <w:szCs w:val="24"/>
        </w:rPr>
        <w:t>with the Code of Practice on Local Authority Accounting in United Kingdom 2012/13 which is based on International Financial Reporting Standards (IFRS), as amended for the UK public sector.</w:t>
      </w:r>
    </w:p>
    <w:p w:rsidR="002747C3" w:rsidRPr="00166665" w:rsidRDefault="002747C3" w:rsidP="002747C3">
      <w:pPr>
        <w:pStyle w:val="BodyTextIndent"/>
        <w:spacing w:after="0"/>
        <w:ind w:left="567"/>
        <w:rPr>
          <w:szCs w:val="24"/>
        </w:rPr>
      </w:pPr>
    </w:p>
    <w:p w:rsidR="002747C3" w:rsidRDefault="002747C3" w:rsidP="002747C3">
      <w:pPr>
        <w:ind w:left="567"/>
        <w:jc w:val="both"/>
        <w:rPr>
          <w:szCs w:val="24"/>
        </w:rPr>
      </w:pPr>
      <w:r>
        <w:rPr>
          <w:szCs w:val="24"/>
        </w:rPr>
        <w:t>The accounts</w:t>
      </w:r>
      <w:r w:rsidRPr="00166665">
        <w:rPr>
          <w:szCs w:val="24"/>
        </w:rPr>
        <w:t xml:space="preserve"> summarise the transactions</w:t>
      </w:r>
      <w:r>
        <w:rPr>
          <w:szCs w:val="24"/>
        </w:rPr>
        <w:t xml:space="preserve"> of the fund</w:t>
      </w:r>
      <w:r w:rsidRPr="00166665">
        <w:rPr>
          <w:szCs w:val="24"/>
        </w:rPr>
        <w:t xml:space="preserve"> and</w:t>
      </w:r>
      <w:r>
        <w:rPr>
          <w:szCs w:val="24"/>
        </w:rPr>
        <w:t xml:space="preserve"> report the net assets available to pay pension benefits.</w:t>
      </w:r>
      <w:r w:rsidRPr="00166665">
        <w:rPr>
          <w:szCs w:val="24"/>
        </w:rPr>
        <w:t xml:space="preserve"> They do not take account of obligations to pay pensions and benefits which fall due after the end </w:t>
      </w:r>
      <w:r>
        <w:rPr>
          <w:szCs w:val="24"/>
        </w:rPr>
        <w:t xml:space="preserve">of the financial year. </w:t>
      </w:r>
      <w:r w:rsidRPr="00AD17B7">
        <w:rPr>
          <w:szCs w:val="24"/>
        </w:rPr>
        <w:t>The actuarial present value of promised retirement benefits, value on an International Accounting Standard (IAS) 19 basis, is disclosed in note 31 of these accounts.</w:t>
      </w:r>
    </w:p>
    <w:p w:rsidR="009A3AFE" w:rsidRPr="00C31405" w:rsidRDefault="009A3AFE" w:rsidP="009A3AFE">
      <w:pPr>
        <w:rPr>
          <w:szCs w:val="24"/>
        </w:rPr>
      </w:pPr>
    </w:p>
    <w:p w:rsidR="009A3AFE" w:rsidRDefault="009A3AFE" w:rsidP="009A3AFE">
      <w:pPr>
        <w:pStyle w:val="BodyTextIndent"/>
        <w:tabs>
          <w:tab w:val="clear" w:pos="1080"/>
        </w:tabs>
        <w:spacing w:after="0"/>
        <w:rPr>
          <w:b/>
          <w:szCs w:val="24"/>
        </w:rPr>
      </w:pPr>
    </w:p>
    <w:p w:rsidR="002747C3" w:rsidRDefault="002747C3" w:rsidP="002747C3">
      <w:pPr>
        <w:pStyle w:val="BodyTextIndent"/>
        <w:numPr>
          <w:ilvl w:val="0"/>
          <w:numId w:val="2"/>
        </w:numPr>
        <w:tabs>
          <w:tab w:val="clear" w:pos="720"/>
          <w:tab w:val="clear" w:pos="1080"/>
          <w:tab w:val="num" w:pos="567"/>
          <w:tab w:val="num" w:pos="862"/>
        </w:tabs>
        <w:spacing w:after="0"/>
        <w:ind w:left="567" w:hanging="567"/>
        <w:rPr>
          <w:b/>
          <w:szCs w:val="24"/>
        </w:rPr>
      </w:pPr>
      <w:r w:rsidRPr="00166665">
        <w:rPr>
          <w:b/>
          <w:szCs w:val="24"/>
        </w:rPr>
        <w:t>Accounting Policies</w:t>
      </w:r>
    </w:p>
    <w:p w:rsidR="002747C3" w:rsidRPr="00166665" w:rsidRDefault="002747C3" w:rsidP="002747C3">
      <w:pPr>
        <w:pStyle w:val="BodyTextIndent"/>
        <w:tabs>
          <w:tab w:val="clear" w:pos="1080"/>
        </w:tabs>
        <w:spacing w:after="0"/>
        <w:ind w:left="567"/>
        <w:rPr>
          <w:b/>
          <w:szCs w:val="24"/>
        </w:rPr>
      </w:pPr>
    </w:p>
    <w:p w:rsidR="002747C3" w:rsidRDefault="002747C3" w:rsidP="002747C3">
      <w:pPr>
        <w:ind w:left="567"/>
        <w:rPr>
          <w:b/>
          <w:szCs w:val="24"/>
        </w:rPr>
      </w:pPr>
      <w:r>
        <w:rPr>
          <w:b/>
          <w:szCs w:val="24"/>
        </w:rPr>
        <w:t>Fund Account revenue recognition</w:t>
      </w:r>
    </w:p>
    <w:p w:rsidR="002747C3" w:rsidRPr="003B5697" w:rsidRDefault="002747C3" w:rsidP="002747C3">
      <w:pPr>
        <w:rPr>
          <w:b/>
          <w:szCs w:val="24"/>
        </w:rPr>
      </w:pPr>
    </w:p>
    <w:p w:rsidR="002747C3" w:rsidRDefault="002747C3" w:rsidP="002747C3">
      <w:pPr>
        <w:numPr>
          <w:ilvl w:val="0"/>
          <w:numId w:val="4"/>
        </w:numPr>
        <w:tabs>
          <w:tab w:val="clear" w:pos="825"/>
          <w:tab w:val="num" w:pos="851"/>
        </w:tabs>
        <w:ind w:left="1113" w:hanging="546"/>
        <w:rPr>
          <w:b/>
          <w:szCs w:val="24"/>
        </w:rPr>
      </w:pPr>
      <w:r w:rsidRPr="003B5697">
        <w:rPr>
          <w:b/>
          <w:szCs w:val="24"/>
        </w:rPr>
        <w:t>Contribution income</w:t>
      </w:r>
    </w:p>
    <w:p w:rsidR="002747C3" w:rsidRPr="003B5697" w:rsidRDefault="002747C3" w:rsidP="002747C3">
      <w:pPr>
        <w:ind w:left="1113"/>
        <w:rPr>
          <w:b/>
          <w:szCs w:val="24"/>
        </w:rPr>
      </w:pPr>
    </w:p>
    <w:p w:rsidR="002747C3" w:rsidRDefault="002747C3" w:rsidP="002747C3">
      <w:pPr>
        <w:pStyle w:val="BodyTextIndent2"/>
        <w:tabs>
          <w:tab w:val="left" w:pos="851"/>
        </w:tabs>
        <w:spacing w:after="0"/>
        <w:ind w:left="851"/>
        <w:rPr>
          <w:szCs w:val="24"/>
        </w:rPr>
      </w:pPr>
      <w:r>
        <w:rPr>
          <w:szCs w:val="24"/>
        </w:rPr>
        <w:t>Normal contributions both from members and from the employer are accounted for on an accruals basis at the percentage rate recommended by the fund actuary in the payroll period to which they relate.</w:t>
      </w:r>
    </w:p>
    <w:p w:rsidR="002747C3" w:rsidRDefault="002747C3" w:rsidP="002747C3">
      <w:pPr>
        <w:pStyle w:val="BodyTextIndent2"/>
        <w:tabs>
          <w:tab w:val="left" w:pos="851"/>
        </w:tabs>
        <w:spacing w:after="0"/>
        <w:ind w:left="851"/>
        <w:rPr>
          <w:szCs w:val="24"/>
        </w:rPr>
      </w:pPr>
    </w:p>
    <w:p w:rsidR="002747C3" w:rsidRDefault="002747C3" w:rsidP="002747C3">
      <w:pPr>
        <w:ind w:left="851"/>
        <w:rPr>
          <w:b/>
          <w:szCs w:val="24"/>
        </w:rPr>
      </w:pPr>
      <w:r>
        <w:rPr>
          <w:szCs w:val="24"/>
        </w:rPr>
        <w:t>Employers' augmentation contributions and pension strain contributions are accounted for</w:t>
      </w:r>
      <w:r>
        <w:rPr>
          <w:b/>
          <w:szCs w:val="24"/>
        </w:rPr>
        <w:t xml:space="preserve"> </w:t>
      </w:r>
      <w:r w:rsidRPr="00673D9E">
        <w:rPr>
          <w:szCs w:val="24"/>
        </w:rPr>
        <w:t>in</w:t>
      </w:r>
      <w:r>
        <w:rPr>
          <w:b/>
          <w:szCs w:val="24"/>
        </w:rPr>
        <w:t xml:space="preserve"> </w:t>
      </w:r>
      <w:r w:rsidRPr="00260A3F">
        <w:rPr>
          <w:szCs w:val="24"/>
        </w:rPr>
        <w:t>the period in which the liability arises.  Any amount due in the year but unpaid will be classed as a current financial asset.  Amounts not due until future years are classed as long term financial assets.</w:t>
      </w:r>
      <w:r w:rsidRPr="00260A3F">
        <w:rPr>
          <w:b/>
          <w:szCs w:val="24"/>
        </w:rPr>
        <w:t xml:space="preserve"> </w:t>
      </w:r>
    </w:p>
    <w:p w:rsidR="002747C3" w:rsidRPr="00260A3F" w:rsidRDefault="002747C3" w:rsidP="002747C3">
      <w:pPr>
        <w:ind w:left="851"/>
        <w:rPr>
          <w:b/>
          <w:szCs w:val="24"/>
        </w:rPr>
      </w:pPr>
    </w:p>
    <w:p w:rsidR="002747C3" w:rsidRDefault="002747C3" w:rsidP="002747C3">
      <w:pPr>
        <w:numPr>
          <w:ilvl w:val="0"/>
          <w:numId w:val="4"/>
        </w:numPr>
        <w:tabs>
          <w:tab w:val="clear" w:pos="825"/>
          <w:tab w:val="num" w:pos="851"/>
        </w:tabs>
        <w:ind w:left="1113" w:hanging="546"/>
        <w:rPr>
          <w:b/>
          <w:szCs w:val="24"/>
        </w:rPr>
      </w:pPr>
      <w:r>
        <w:rPr>
          <w:b/>
          <w:szCs w:val="24"/>
        </w:rPr>
        <w:t>T</w:t>
      </w:r>
      <w:r w:rsidRPr="003B5697">
        <w:rPr>
          <w:b/>
          <w:szCs w:val="24"/>
        </w:rPr>
        <w:t>ransfers</w:t>
      </w:r>
    </w:p>
    <w:p w:rsidR="002747C3" w:rsidRPr="003B5697" w:rsidRDefault="002747C3" w:rsidP="002747C3">
      <w:pPr>
        <w:ind w:left="1113"/>
        <w:rPr>
          <w:b/>
          <w:szCs w:val="24"/>
        </w:rPr>
      </w:pPr>
    </w:p>
    <w:p w:rsidR="002747C3" w:rsidRPr="00260A3F" w:rsidRDefault="002747C3" w:rsidP="002747C3">
      <w:pPr>
        <w:pStyle w:val="BodyTextIndent2"/>
        <w:tabs>
          <w:tab w:val="left" w:pos="851"/>
        </w:tabs>
        <w:spacing w:after="0"/>
        <w:ind w:left="851"/>
        <w:rPr>
          <w:szCs w:val="24"/>
          <w:highlight w:val="yellow"/>
        </w:rPr>
      </w:pPr>
      <w:r>
        <w:rPr>
          <w:szCs w:val="24"/>
        </w:rPr>
        <w:t xml:space="preserve">Transfer values represent amounts received and paid during the period for individual </w:t>
      </w:r>
      <w:r w:rsidRPr="00664DB9">
        <w:rPr>
          <w:szCs w:val="24"/>
        </w:rPr>
        <w:t>members who have either joined or left the fund during the financial year and are calculated in accordance with Local Governance Pension Scheme Regulations.</w:t>
      </w:r>
    </w:p>
    <w:p w:rsidR="002747C3" w:rsidRPr="00260A3F" w:rsidRDefault="002747C3" w:rsidP="002747C3">
      <w:pPr>
        <w:pStyle w:val="BodyTextIndent2"/>
        <w:tabs>
          <w:tab w:val="left" w:pos="851"/>
        </w:tabs>
        <w:spacing w:after="0"/>
        <w:ind w:left="851"/>
        <w:rPr>
          <w:szCs w:val="24"/>
          <w:highlight w:val="yellow"/>
        </w:rPr>
      </w:pPr>
    </w:p>
    <w:p w:rsidR="002747C3" w:rsidRPr="00664DB9" w:rsidRDefault="002747C3" w:rsidP="002747C3">
      <w:pPr>
        <w:pStyle w:val="BodyTextIndent2"/>
        <w:tabs>
          <w:tab w:val="left" w:pos="851"/>
        </w:tabs>
        <w:spacing w:after="0"/>
        <w:ind w:left="851"/>
        <w:rPr>
          <w:szCs w:val="24"/>
        </w:rPr>
      </w:pPr>
      <w:r w:rsidRPr="00664DB9">
        <w:rPr>
          <w:szCs w:val="24"/>
        </w:rPr>
        <w:t>Individual transfers in/out are accounted for when received/paid, which is normally when the member liability is accepted or discharged.</w:t>
      </w:r>
    </w:p>
    <w:p w:rsidR="002747C3" w:rsidRPr="00260A3F" w:rsidRDefault="002747C3" w:rsidP="002747C3">
      <w:pPr>
        <w:pStyle w:val="BodyTextIndent2"/>
        <w:tabs>
          <w:tab w:val="left" w:pos="851"/>
        </w:tabs>
        <w:spacing w:after="0"/>
        <w:ind w:left="851"/>
        <w:rPr>
          <w:szCs w:val="24"/>
          <w:highlight w:val="yellow"/>
        </w:rPr>
      </w:pPr>
    </w:p>
    <w:p w:rsidR="002747C3" w:rsidRDefault="002747C3" w:rsidP="002747C3">
      <w:pPr>
        <w:pStyle w:val="BodyTextIndent2"/>
        <w:tabs>
          <w:tab w:val="left" w:pos="851"/>
        </w:tabs>
        <w:spacing w:after="0"/>
        <w:ind w:left="851"/>
        <w:rPr>
          <w:szCs w:val="24"/>
        </w:rPr>
      </w:pPr>
      <w:r w:rsidRPr="00664DB9">
        <w:rPr>
          <w:szCs w:val="24"/>
        </w:rPr>
        <w:t>Transfers in from members wishing to use the proceeds of their additional voluntary contributions to purchase scheme benefits are accounted for on a receipts basis and are included in transfers in. Bulk (group) transfers are accounted for on an accruals basis in accordance with the terms of the transfer agreement.</w:t>
      </w:r>
    </w:p>
    <w:p w:rsidR="00AB5F81" w:rsidRDefault="00AB5F81" w:rsidP="002747C3">
      <w:pPr>
        <w:pStyle w:val="BodyTextIndent2"/>
        <w:tabs>
          <w:tab w:val="left" w:pos="851"/>
        </w:tabs>
        <w:spacing w:after="0"/>
        <w:ind w:left="851"/>
        <w:rPr>
          <w:szCs w:val="24"/>
        </w:rPr>
      </w:pPr>
    </w:p>
    <w:p w:rsidR="002747C3" w:rsidRPr="00DE0905" w:rsidRDefault="002747C3" w:rsidP="002747C3">
      <w:pPr>
        <w:pStyle w:val="BodyTextIndent2"/>
        <w:numPr>
          <w:ilvl w:val="0"/>
          <w:numId w:val="4"/>
        </w:numPr>
        <w:tabs>
          <w:tab w:val="clear" w:pos="825"/>
          <w:tab w:val="left" w:pos="851"/>
        </w:tabs>
        <w:spacing w:after="0"/>
        <w:ind w:left="720" w:hanging="360"/>
        <w:rPr>
          <w:szCs w:val="24"/>
        </w:rPr>
      </w:pPr>
      <w:r w:rsidRPr="00DE0905">
        <w:rPr>
          <w:b/>
          <w:szCs w:val="24"/>
        </w:rPr>
        <w:t>Investment Income</w:t>
      </w:r>
    </w:p>
    <w:p w:rsidR="002747C3" w:rsidRPr="00DE0905" w:rsidRDefault="002747C3" w:rsidP="002747C3">
      <w:pPr>
        <w:pStyle w:val="BodyTextIndent2"/>
        <w:tabs>
          <w:tab w:val="left" w:pos="851"/>
        </w:tabs>
        <w:spacing w:after="0"/>
        <w:ind w:left="927"/>
        <w:rPr>
          <w:szCs w:val="24"/>
        </w:rPr>
      </w:pPr>
    </w:p>
    <w:p w:rsidR="002747C3" w:rsidRDefault="002747C3" w:rsidP="002747C3">
      <w:pPr>
        <w:pStyle w:val="BodyTextIndent2"/>
        <w:numPr>
          <w:ilvl w:val="0"/>
          <w:numId w:val="24"/>
        </w:numPr>
        <w:tabs>
          <w:tab w:val="left" w:pos="851"/>
        </w:tabs>
        <w:spacing w:after="0"/>
        <w:rPr>
          <w:szCs w:val="24"/>
        </w:rPr>
      </w:pPr>
      <w:r w:rsidRPr="00DE0905">
        <w:rPr>
          <w:szCs w:val="24"/>
        </w:rPr>
        <w:t>Interest income</w:t>
      </w:r>
    </w:p>
    <w:p w:rsidR="002747C3" w:rsidRDefault="002747C3" w:rsidP="002747C3">
      <w:pPr>
        <w:pStyle w:val="ListParagraph"/>
      </w:pPr>
    </w:p>
    <w:p w:rsidR="005A59CC" w:rsidRDefault="002747C3" w:rsidP="002747C3">
      <w:pPr>
        <w:pStyle w:val="BodyTextIndent2"/>
        <w:tabs>
          <w:tab w:val="left" w:pos="851"/>
        </w:tabs>
        <w:spacing w:after="0"/>
        <w:ind w:left="851"/>
        <w:rPr>
          <w:szCs w:val="24"/>
        </w:rPr>
      </w:pPr>
      <w:r>
        <w:rPr>
          <w:szCs w:val="24"/>
        </w:rPr>
        <w:t xml:space="preserve">Interest income is recognised in the fund account as it accrues, using the effective interest rate of the financial instrument as at the date of acquisition or origination.  Income </w:t>
      </w:r>
    </w:p>
    <w:p w:rsidR="005A59CC" w:rsidRDefault="005A59CC"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szCs w:val="24"/>
        </w:rPr>
      </w:pPr>
      <w:proofErr w:type="gramStart"/>
      <w:r>
        <w:rPr>
          <w:szCs w:val="24"/>
        </w:rPr>
        <w:t>includes</w:t>
      </w:r>
      <w:proofErr w:type="gramEnd"/>
      <w:r>
        <w:rPr>
          <w:szCs w:val="24"/>
        </w:rPr>
        <w:t xml:space="preserve"> the amortisation of any discount or premium, transaction costs or other differences between the initial carrying amount of the instrument and its amount at maturity calculated on an effective interest rate basis.</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numPr>
          <w:ilvl w:val="0"/>
          <w:numId w:val="24"/>
        </w:numPr>
        <w:tabs>
          <w:tab w:val="left" w:pos="851"/>
        </w:tabs>
        <w:spacing w:after="0"/>
        <w:rPr>
          <w:szCs w:val="24"/>
        </w:rPr>
      </w:pPr>
      <w:r>
        <w:rPr>
          <w:szCs w:val="24"/>
        </w:rPr>
        <w:t>Dividend income</w:t>
      </w:r>
    </w:p>
    <w:p w:rsidR="002747C3" w:rsidRDefault="002747C3" w:rsidP="002747C3">
      <w:pPr>
        <w:pStyle w:val="BodyTextIndent2"/>
        <w:tabs>
          <w:tab w:val="left" w:pos="851"/>
        </w:tabs>
        <w:spacing w:after="0"/>
        <w:ind w:left="927"/>
        <w:rPr>
          <w:szCs w:val="24"/>
        </w:rPr>
      </w:pPr>
    </w:p>
    <w:p w:rsidR="002747C3" w:rsidRDefault="002747C3" w:rsidP="002747C3">
      <w:pPr>
        <w:pStyle w:val="BodyTextIndent2"/>
        <w:tabs>
          <w:tab w:val="left" w:pos="851"/>
        </w:tabs>
        <w:spacing w:after="0"/>
        <w:ind w:left="851"/>
        <w:rPr>
          <w:szCs w:val="24"/>
        </w:rPr>
      </w:pPr>
      <w:r>
        <w:rPr>
          <w:szCs w:val="24"/>
        </w:rPr>
        <w:t>Dividend income is recognised on the date the shares are quoted ex-dividend.  Any amount not received by the end of the reporting period is disclosed in the net asset statement as a current financial asset.</w:t>
      </w:r>
    </w:p>
    <w:p w:rsidR="002747C3" w:rsidRDefault="002747C3" w:rsidP="002747C3">
      <w:pPr>
        <w:pStyle w:val="BodyTextIndent2"/>
        <w:tabs>
          <w:tab w:val="left" w:pos="851"/>
        </w:tabs>
        <w:spacing w:after="0"/>
        <w:ind w:left="927"/>
        <w:rPr>
          <w:szCs w:val="24"/>
        </w:rPr>
      </w:pPr>
    </w:p>
    <w:p w:rsidR="002747C3" w:rsidRDefault="002747C3" w:rsidP="002747C3">
      <w:pPr>
        <w:pStyle w:val="BodyTextIndent2"/>
        <w:numPr>
          <w:ilvl w:val="0"/>
          <w:numId w:val="24"/>
        </w:numPr>
        <w:tabs>
          <w:tab w:val="left" w:pos="851"/>
        </w:tabs>
        <w:spacing w:after="0"/>
        <w:rPr>
          <w:szCs w:val="24"/>
        </w:rPr>
      </w:pPr>
      <w:r>
        <w:rPr>
          <w:szCs w:val="24"/>
        </w:rPr>
        <w:t>Distribution from pooled funds</w:t>
      </w:r>
    </w:p>
    <w:p w:rsidR="002747C3" w:rsidRDefault="002747C3" w:rsidP="002747C3">
      <w:pPr>
        <w:pStyle w:val="BodyTextIndent2"/>
        <w:tabs>
          <w:tab w:val="left" w:pos="851"/>
        </w:tabs>
        <w:spacing w:after="0"/>
        <w:ind w:left="927"/>
        <w:rPr>
          <w:szCs w:val="24"/>
        </w:rPr>
      </w:pPr>
    </w:p>
    <w:p w:rsidR="002747C3" w:rsidRDefault="002747C3" w:rsidP="002747C3">
      <w:pPr>
        <w:pStyle w:val="BodyTextIndent2"/>
        <w:tabs>
          <w:tab w:val="left" w:pos="851"/>
        </w:tabs>
        <w:spacing w:after="0"/>
        <w:ind w:left="851"/>
        <w:rPr>
          <w:szCs w:val="24"/>
        </w:rPr>
      </w:pPr>
      <w:r>
        <w:rPr>
          <w:szCs w:val="24"/>
        </w:rPr>
        <w:t>Distributions from pooled funds are recognised at the date of issue.  Any amount not received by the end of the reporting period is disclosed in the net asset statement as a current financial asset.</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numPr>
          <w:ilvl w:val="0"/>
          <w:numId w:val="24"/>
        </w:numPr>
        <w:tabs>
          <w:tab w:val="left" w:pos="851"/>
        </w:tabs>
        <w:spacing w:after="0"/>
        <w:rPr>
          <w:szCs w:val="24"/>
        </w:rPr>
      </w:pPr>
      <w:r>
        <w:rPr>
          <w:szCs w:val="24"/>
        </w:rPr>
        <w:t>Rental income</w:t>
      </w:r>
    </w:p>
    <w:p w:rsidR="002747C3" w:rsidRDefault="002747C3" w:rsidP="002747C3">
      <w:pPr>
        <w:pStyle w:val="BodyTextIndent2"/>
        <w:tabs>
          <w:tab w:val="left" w:pos="851"/>
        </w:tabs>
        <w:spacing w:after="0"/>
        <w:ind w:left="927"/>
        <w:rPr>
          <w:szCs w:val="24"/>
        </w:rPr>
      </w:pPr>
    </w:p>
    <w:p w:rsidR="002747C3" w:rsidRDefault="002747C3" w:rsidP="002747C3">
      <w:pPr>
        <w:pStyle w:val="BodyTextIndent2"/>
        <w:tabs>
          <w:tab w:val="left" w:pos="851"/>
        </w:tabs>
        <w:spacing w:after="0"/>
        <w:ind w:left="851"/>
        <w:rPr>
          <w:szCs w:val="24"/>
        </w:rPr>
      </w:pPr>
      <w:r>
        <w:rPr>
          <w:szCs w:val="24"/>
        </w:rPr>
        <w:t>Rental income from operating leases on properties owned by the fund is recognised on a straight line basis over the term of the lease.  Any lease incentives granted are recognised as an integral part of the total rental income, over the term of the lease.  Contingent rents are only recognised when contractually due.</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numPr>
          <w:ilvl w:val="0"/>
          <w:numId w:val="24"/>
        </w:numPr>
        <w:tabs>
          <w:tab w:val="left" w:pos="851"/>
        </w:tabs>
        <w:spacing w:after="0"/>
        <w:rPr>
          <w:szCs w:val="24"/>
        </w:rPr>
      </w:pPr>
      <w:r>
        <w:rPr>
          <w:szCs w:val="24"/>
        </w:rPr>
        <w:t>Movement in the net market value of investments</w:t>
      </w:r>
    </w:p>
    <w:p w:rsidR="002747C3" w:rsidRDefault="002747C3" w:rsidP="002747C3">
      <w:pPr>
        <w:pStyle w:val="BodyTextIndent2"/>
        <w:tabs>
          <w:tab w:val="left" w:pos="851"/>
        </w:tabs>
        <w:spacing w:after="0"/>
        <w:rPr>
          <w:szCs w:val="24"/>
        </w:rPr>
      </w:pPr>
    </w:p>
    <w:p w:rsidR="002747C3" w:rsidRDefault="002747C3" w:rsidP="002747C3">
      <w:pPr>
        <w:pStyle w:val="BodyTextIndent2"/>
        <w:tabs>
          <w:tab w:val="left" w:pos="851"/>
        </w:tabs>
        <w:spacing w:after="0"/>
        <w:ind w:left="927" w:hanging="76"/>
        <w:rPr>
          <w:szCs w:val="24"/>
        </w:rPr>
      </w:pPr>
      <w:r>
        <w:rPr>
          <w:szCs w:val="24"/>
        </w:rPr>
        <w:t>Changes in the net market value of investments (including investment properties) are recognised as income and comprise all realised and unrealised profits/losses during the year.</w:t>
      </w:r>
    </w:p>
    <w:p w:rsidR="002747C3" w:rsidRDefault="002747C3" w:rsidP="002747C3">
      <w:pPr>
        <w:pStyle w:val="BodyTextIndent2"/>
        <w:tabs>
          <w:tab w:val="left" w:pos="851"/>
        </w:tabs>
        <w:spacing w:after="0"/>
        <w:ind w:left="927" w:hanging="76"/>
        <w:rPr>
          <w:szCs w:val="24"/>
        </w:rPr>
      </w:pPr>
    </w:p>
    <w:p w:rsidR="002747C3" w:rsidRDefault="002747C3" w:rsidP="002747C3">
      <w:pPr>
        <w:pStyle w:val="BodyTextIndent2"/>
        <w:tabs>
          <w:tab w:val="left" w:pos="851"/>
        </w:tabs>
        <w:spacing w:after="0"/>
        <w:ind w:left="927" w:hanging="76"/>
        <w:rPr>
          <w:szCs w:val="24"/>
        </w:rPr>
      </w:pPr>
    </w:p>
    <w:p w:rsidR="002747C3" w:rsidRDefault="002747C3" w:rsidP="002747C3">
      <w:pPr>
        <w:ind w:left="426"/>
        <w:rPr>
          <w:b/>
          <w:szCs w:val="24"/>
        </w:rPr>
      </w:pPr>
      <w:r>
        <w:rPr>
          <w:b/>
          <w:szCs w:val="24"/>
        </w:rPr>
        <w:t>Fund Account –expense items</w:t>
      </w:r>
    </w:p>
    <w:p w:rsidR="002747C3" w:rsidRDefault="002747C3" w:rsidP="002747C3">
      <w:pPr>
        <w:rPr>
          <w:b/>
          <w:szCs w:val="24"/>
        </w:rPr>
      </w:pPr>
    </w:p>
    <w:p w:rsidR="002747C3" w:rsidRDefault="002747C3" w:rsidP="002747C3">
      <w:pPr>
        <w:numPr>
          <w:ilvl w:val="0"/>
          <w:numId w:val="4"/>
        </w:numPr>
        <w:tabs>
          <w:tab w:val="clear" w:pos="825"/>
          <w:tab w:val="num" w:pos="851"/>
        </w:tabs>
        <w:ind w:left="1113" w:hanging="546"/>
        <w:rPr>
          <w:b/>
          <w:szCs w:val="24"/>
        </w:rPr>
      </w:pPr>
      <w:r>
        <w:rPr>
          <w:b/>
          <w:szCs w:val="24"/>
        </w:rPr>
        <w:t>Benefits payable</w:t>
      </w:r>
    </w:p>
    <w:p w:rsidR="002747C3" w:rsidRDefault="002747C3" w:rsidP="002747C3">
      <w:pPr>
        <w:ind w:left="1113"/>
        <w:rPr>
          <w:b/>
          <w:szCs w:val="24"/>
        </w:rPr>
      </w:pPr>
    </w:p>
    <w:p w:rsidR="002747C3" w:rsidRDefault="002747C3" w:rsidP="002747C3">
      <w:pPr>
        <w:tabs>
          <w:tab w:val="left" w:pos="851"/>
        </w:tabs>
        <w:ind w:left="851"/>
        <w:jc w:val="both"/>
        <w:rPr>
          <w:szCs w:val="24"/>
        </w:rPr>
      </w:pPr>
      <w:r>
        <w:rPr>
          <w:szCs w:val="24"/>
        </w:rPr>
        <w:t>Pensions and lump sum benefits payable included all amounts known to be due as at the end of the financial year.  Any amounts due but unpaid are disclosed on the net asset statement as current liabilities.</w:t>
      </w:r>
    </w:p>
    <w:p w:rsidR="002747C3" w:rsidRDefault="002747C3" w:rsidP="002747C3">
      <w:pPr>
        <w:tabs>
          <w:tab w:val="left" w:pos="851"/>
        </w:tabs>
        <w:ind w:left="851"/>
        <w:jc w:val="both"/>
        <w:rPr>
          <w:szCs w:val="24"/>
        </w:rPr>
      </w:pPr>
    </w:p>
    <w:p w:rsidR="002747C3" w:rsidRDefault="002747C3" w:rsidP="002747C3">
      <w:pPr>
        <w:numPr>
          <w:ilvl w:val="0"/>
          <w:numId w:val="4"/>
        </w:numPr>
        <w:tabs>
          <w:tab w:val="clear" w:pos="825"/>
          <w:tab w:val="num" w:pos="851"/>
        </w:tabs>
        <w:ind w:left="1113" w:hanging="546"/>
        <w:rPr>
          <w:b/>
          <w:szCs w:val="24"/>
        </w:rPr>
      </w:pPr>
      <w:r w:rsidRPr="007E6060">
        <w:rPr>
          <w:b/>
          <w:szCs w:val="24"/>
        </w:rPr>
        <w:t>Taxation</w:t>
      </w:r>
    </w:p>
    <w:p w:rsidR="002747C3" w:rsidRDefault="002747C3" w:rsidP="002747C3">
      <w:pPr>
        <w:ind w:left="1113"/>
        <w:rPr>
          <w:b/>
          <w:szCs w:val="24"/>
        </w:rPr>
      </w:pPr>
    </w:p>
    <w:p w:rsidR="002747C3" w:rsidRDefault="002747C3" w:rsidP="002747C3">
      <w:pPr>
        <w:tabs>
          <w:tab w:val="left" w:pos="851"/>
        </w:tabs>
        <w:ind w:left="851"/>
        <w:jc w:val="both"/>
        <w:rPr>
          <w:szCs w:val="24"/>
        </w:rPr>
      </w:pPr>
      <w:r>
        <w:rPr>
          <w:szCs w:val="24"/>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2747C3" w:rsidRDefault="002747C3" w:rsidP="002747C3">
      <w:pPr>
        <w:tabs>
          <w:tab w:val="left" w:pos="851"/>
        </w:tabs>
        <w:ind w:left="851"/>
        <w:jc w:val="both"/>
        <w:rPr>
          <w:szCs w:val="24"/>
        </w:rPr>
      </w:pPr>
    </w:p>
    <w:p w:rsidR="002747C3" w:rsidRPr="009504F6" w:rsidRDefault="002747C3" w:rsidP="002747C3">
      <w:pPr>
        <w:numPr>
          <w:ilvl w:val="0"/>
          <w:numId w:val="4"/>
        </w:numPr>
        <w:tabs>
          <w:tab w:val="clear" w:pos="825"/>
          <w:tab w:val="num" w:pos="851"/>
        </w:tabs>
        <w:ind w:left="1113" w:hanging="546"/>
        <w:rPr>
          <w:szCs w:val="24"/>
        </w:rPr>
      </w:pPr>
      <w:r w:rsidRPr="00C44323">
        <w:rPr>
          <w:b/>
          <w:szCs w:val="24"/>
        </w:rPr>
        <w:t>Administrative</w:t>
      </w:r>
      <w:r w:rsidRPr="00C44323">
        <w:rPr>
          <w:szCs w:val="24"/>
        </w:rPr>
        <w:t xml:space="preserve"> </w:t>
      </w:r>
      <w:r w:rsidRPr="00C44323">
        <w:rPr>
          <w:b/>
          <w:szCs w:val="24"/>
        </w:rPr>
        <w:t>expenses</w:t>
      </w:r>
    </w:p>
    <w:p w:rsidR="002747C3" w:rsidRPr="00C44323" w:rsidRDefault="002747C3" w:rsidP="002747C3">
      <w:pPr>
        <w:ind w:left="1113"/>
        <w:rPr>
          <w:szCs w:val="24"/>
        </w:rPr>
      </w:pPr>
    </w:p>
    <w:p w:rsidR="00E332BE" w:rsidRDefault="002747C3" w:rsidP="002747C3">
      <w:pPr>
        <w:tabs>
          <w:tab w:val="left" w:pos="851"/>
        </w:tabs>
        <w:ind w:left="851"/>
        <w:jc w:val="both"/>
        <w:rPr>
          <w:szCs w:val="24"/>
        </w:rPr>
      </w:pPr>
      <w:r w:rsidRPr="00C44323">
        <w:rPr>
          <w:szCs w:val="24"/>
        </w:rPr>
        <w:t>All administrative expenses are accounted for on an accruals basis.</w:t>
      </w:r>
      <w:r>
        <w:rPr>
          <w:szCs w:val="24"/>
        </w:rPr>
        <w:t xml:space="preserve"> </w:t>
      </w:r>
      <w:r w:rsidRPr="00166665">
        <w:rPr>
          <w:szCs w:val="24"/>
        </w:rPr>
        <w:t xml:space="preserve">All other costs of administration are borne by the employer.  The administration and processing expenses </w:t>
      </w:r>
    </w:p>
    <w:p w:rsidR="00E332BE" w:rsidRDefault="00E332BE" w:rsidP="002747C3">
      <w:pPr>
        <w:tabs>
          <w:tab w:val="left" w:pos="851"/>
        </w:tabs>
        <w:ind w:left="851"/>
        <w:jc w:val="both"/>
        <w:rPr>
          <w:szCs w:val="24"/>
        </w:rPr>
      </w:pPr>
    </w:p>
    <w:p w:rsidR="002747C3" w:rsidRDefault="002747C3" w:rsidP="002747C3">
      <w:pPr>
        <w:tabs>
          <w:tab w:val="left" w:pos="851"/>
        </w:tabs>
        <w:ind w:left="851"/>
        <w:jc w:val="both"/>
        <w:rPr>
          <w:szCs w:val="24"/>
        </w:rPr>
      </w:pPr>
      <w:proofErr w:type="gramStart"/>
      <w:r w:rsidRPr="00166665">
        <w:rPr>
          <w:szCs w:val="24"/>
        </w:rPr>
        <w:t>are</w:t>
      </w:r>
      <w:proofErr w:type="gramEnd"/>
      <w:r w:rsidRPr="00166665">
        <w:rPr>
          <w:szCs w:val="24"/>
        </w:rPr>
        <w:t xml:space="preserve"> a proportion of relevant officers' salaries in respect of the time allocated to pension administration and investment issues.</w:t>
      </w:r>
    </w:p>
    <w:p w:rsidR="002747C3" w:rsidRDefault="002747C3" w:rsidP="002747C3">
      <w:pPr>
        <w:tabs>
          <w:tab w:val="left" w:pos="851"/>
        </w:tabs>
        <w:ind w:left="851"/>
        <w:jc w:val="both"/>
        <w:rPr>
          <w:szCs w:val="24"/>
        </w:rPr>
      </w:pPr>
    </w:p>
    <w:p w:rsidR="002747C3" w:rsidRDefault="002747C3" w:rsidP="002747C3">
      <w:pPr>
        <w:numPr>
          <w:ilvl w:val="0"/>
          <w:numId w:val="4"/>
        </w:numPr>
        <w:tabs>
          <w:tab w:val="clear" w:pos="825"/>
          <w:tab w:val="num" w:pos="851"/>
        </w:tabs>
        <w:ind w:left="1113" w:hanging="546"/>
        <w:rPr>
          <w:b/>
          <w:szCs w:val="24"/>
        </w:rPr>
      </w:pPr>
      <w:r>
        <w:rPr>
          <w:b/>
          <w:szCs w:val="24"/>
        </w:rPr>
        <w:t>Investment Manager expenses</w:t>
      </w:r>
    </w:p>
    <w:p w:rsidR="002747C3" w:rsidRDefault="002747C3" w:rsidP="002747C3">
      <w:pPr>
        <w:ind w:left="1113"/>
        <w:rPr>
          <w:b/>
          <w:szCs w:val="24"/>
        </w:rPr>
      </w:pPr>
    </w:p>
    <w:p w:rsidR="002747C3" w:rsidRDefault="002747C3" w:rsidP="002747C3">
      <w:pPr>
        <w:tabs>
          <w:tab w:val="left" w:pos="851"/>
        </w:tabs>
        <w:ind w:left="851"/>
        <w:jc w:val="both"/>
        <w:rPr>
          <w:rFonts w:cs="Arial"/>
          <w:szCs w:val="24"/>
        </w:rPr>
      </w:pPr>
      <w:r w:rsidRPr="007E4386">
        <w:rPr>
          <w:szCs w:val="24"/>
        </w:rPr>
        <w:t>Investment</w:t>
      </w:r>
      <w:r w:rsidRPr="007E4386">
        <w:rPr>
          <w:rFonts w:cs="Arial"/>
          <w:b/>
          <w:szCs w:val="24"/>
        </w:rPr>
        <w:t xml:space="preserve"> </w:t>
      </w:r>
      <w:r w:rsidRPr="007E4386">
        <w:rPr>
          <w:rFonts w:cs="Arial"/>
          <w:szCs w:val="24"/>
        </w:rPr>
        <w:t>management expenses</w:t>
      </w:r>
      <w:r>
        <w:rPr>
          <w:rFonts w:cs="Arial"/>
          <w:szCs w:val="24"/>
        </w:rPr>
        <w:t xml:space="preserve"> are accounted for on an accruals basis.  They </w:t>
      </w:r>
      <w:r w:rsidRPr="007E4386">
        <w:rPr>
          <w:rFonts w:cs="Arial"/>
          <w:szCs w:val="24"/>
        </w:rPr>
        <w:t>include the fees paid and due to the fund managers</w:t>
      </w:r>
      <w:r>
        <w:rPr>
          <w:rFonts w:cs="Arial"/>
          <w:szCs w:val="24"/>
        </w:rPr>
        <w:t xml:space="preserve">, custodian, actuarial fees and </w:t>
      </w:r>
      <w:r w:rsidRPr="007E4386">
        <w:rPr>
          <w:rFonts w:cs="Arial"/>
          <w:szCs w:val="24"/>
        </w:rPr>
        <w:t xml:space="preserve">performance measurement and investment consultant fees. </w:t>
      </w:r>
    </w:p>
    <w:p w:rsidR="002747C3" w:rsidRDefault="002747C3" w:rsidP="002747C3">
      <w:pPr>
        <w:tabs>
          <w:tab w:val="left" w:pos="851"/>
        </w:tabs>
        <w:ind w:left="851"/>
        <w:jc w:val="both"/>
        <w:rPr>
          <w:rFonts w:cs="Arial"/>
          <w:szCs w:val="24"/>
        </w:rPr>
      </w:pPr>
    </w:p>
    <w:p w:rsidR="002747C3" w:rsidRDefault="002747C3" w:rsidP="002747C3">
      <w:pPr>
        <w:tabs>
          <w:tab w:val="left" w:pos="851"/>
        </w:tabs>
        <w:ind w:left="851"/>
        <w:jc w:val="both"/>
        <w:rPr>
          <w:rFonts w:cs="Arial"/>
          <w:szCs w:val="24"/>
        </w:rPr>
      </w:pPr>
      <w:r>
        <w:rPr>
          <w:rFonts w:cs="Arial"/>
          <w:szCs w:val="24"/>
        </w:rPr>
        <w:t>Fees of the external investment managers and custodian are agreed in the respective mandates governing their appointments.  Broadly, these are based on the market value of investments under their management and therefore increase or reduce as the value of these investments change.</w:t>
      </w:r>
    </w:p>
    <w:p w:rsidR="002747C3" w:rsidRDefault="002747C3" w:rsidP="002747C3">
      <w:pPr>
        <w:tabs>
          <w:tab w:val="left" w:pos="851"/>
        </w:tabs>
        <w:ind w:left="851"/>
        <w:jc w:val="both"/>
        <w:rPr>
          <w:rFonts w:cs="Arial"/>
          <w:szCs w:val="24"/>
        </w:rPr>
      </w:pPr>
    </w:p>
    <w:p w:rsidR="002747C3" w:rsidRDefault="002747C3" w:rsidP="002747C3">
      <w:pPr>
        <w:tabs>
          <w:tab w:val="left" w:pos="851"/>
        </w:tabs>
        <w:ind w:left="851"/>
        <w:jc w:val="both"/>
        <w:rPr>
          <w:rFonts w:cs="Arial"/>
          <w:szCs w:val="24"/>
        </w:rPr>
      </w:pPr>
      <w:r>
        <w:rPr>
          <w:rFonts w:cs="Arial"/>
          <w:szCs w:val="24"/>
        </w:rPr>
        <w:t>In addition the fund has negotiated with the following managers that an element of their fee be performance related:</w:t>
      </w:r>
    </w:p>
    <w:p w:rsidR="002747C3" w:rsidRDefault="002747C3" w:rsidP="002747C3">
      <w:pPr>
        <w:tabs>
          <w:tab w:val="left" w:pos="851"/>
        </w:tabs>
        <w:ind w:left="851"/>
        <w:jc w:val="both"/>
        <w:rPr>
          <w:rFonts w:cs="Arial"/>
          <w:szCs w:val="24"/>
        </w:rPr>
      </w:pPr>
    </w:p>
    <w:p w:rsidR="002747C3" w:rsidRDefault="002747C3" w:rsidP="002747C3">
      <w:pPr>
        <w:pStyle w:val="ListParagraph"/>
        <w:numPr>
          <w:ilvl w:val="0"/>
          <w:numId w:val="41"/>
        </w:numPr>
        <w:tabs>
          <w:tab w:val="left" w:pos="851"/>
        </w:tabs>
        <w:jc w:val="both"/>
        <w:rPr>
          <w:rFonts w:cs="Arial"/>
        </w:rPr>
      </w:pPr>
      <w:r>
        <w:rPr>
          <w:rFonts w:cs="Arial"/>
        </w:rPr>
        <w:t>MFS</w:t>
      </w:r>
    </w:p>
    <w:p w:rsidR="003056E9" w:rsidRDefault="003056E9" w:rsidP="002747C3">
      <w:pPr>
        <w:pStyle w:val="ListParagraph"/>
        <w:numPr>
          <w:ilvl w:val="0"/>
          <w:numId w:val="41"/>
        </w:numPr>
        <w:tabs>
          <w:tab w:val="left" w:pos="851"/>
        </w:tabs>
        <w:jc w:val="both"/>
        <w:rPr>
          <w:rFonts w:cs="Arial"/>
        </w:rPr>
      </w:pPr>
      <w:r>
        <w:rPr>
          <w:rFonts w:cs="Arial"/>
        </w:rPr>
        <w:t>Morgan Stanley</w:t>
      </w:r>
    </w:p>
    <w:p w:rsidR="009A3AFE" w:rsidRPr="00AA58CA" w:rsidRDefault="009A3AFE" w:rsidP="009A3AFE">
      <w:pPr>
        <w:spacing w:after="120"/>
        <w:jc w:val="both"/>
      </w:pPr>
    </w:p>
    <w:p w:rsidR="00897DBF" w:rsidRDefault="002747C3">
      <w:pPr>
        <w:tabs>
          <w:tab w:val="left" w:pos="851"/>
        </w:tabs>
        <w:ind w:left="851"/>
        <w:jc w:val="both"/>
        <w:rPr>
          <w:rFonts w:cs="Arial"/>
        </w:rPr>
      </w:pPr>
      <w:r>
        <w:rPr>
          <w:rFonts w:cs="Arial"/>
        </w:rPr>
        <w:t>As yet no performance related fees have been paid to these managers due to them having only been appointed in October 2012.</w:t>
      </w:r>
    </w:p>
    <w:p w:rsidR="002747C3" w:rsidRDefault="002747C3" w:rsidP="002747C3">
      <w:pPr>
        <w:tabs>
          <w:tab w:val="left" w:pos="851"/>
        </w:tabs>
        <w:ind w:left="851"/>
        <w:jc w:val="both"/>
        <w:rPr>
          <w:rFonts w:cs="Arial"/>
          <w:szCs w:val="24"/>
        </w:rPr>
      </w:pPr>
    </w:p>
    <w:p w:rsidR="002747C3" w:rsidRDefault="002747C3" w:rsidP="002747C3">
      <w:pPr>
        <w:tabs>
          <w:tab w:val="left" w:pos="851"/>
        </w:tabs>
        <w:ind w:left="851"/>
        <w:jc w:val="both"/>
        <w:rPr>
          <w:rFonts w:cs="Arial"/>
          <w:szCs w:val="24"/>
        </w:rPr>
      </w:pPr>
      <w:r>
        <w:rPr>
          <w:rFonts w:cs="Arial"/>
          <w:szCs w:val="24"/>
        </w:rPr>
        <w:t>Where an investment manager's fee note has not been received by the net asset statement date, an estimate based on market value of their mandate as at year end is used for the inclusion in the fund account</w:t>
      </w:r>
      <w:r w:rsidRPr="00824B09">
        <w:rPr>
          <w:rFonts w:cs="Arial"/>
          <w:szCs w:val="24"/>
        </w:rPr>
        <w:t>.  In 201</w:t>
      </w:r>
      <w:r>
        <w:rPr>
          <w:rFonts w:cs="Arial"/>
          <w:szCs w:val="24"/>
        </w:rPr>
        <w:t xml:space="preserve">2/13 </w:t>
      </w:r>
      <w:r w:rsidRPr="00824B09">
        <w:rPr>
          <w:rFonts w:cs="Arial"/>
          <w:szCs w:val="24"/>
        </w:rPr>
        <w:t>£</w:t>
      </w:r>
      <w:r>
        <w:rPr>
          <w:rFonts w:cs="Arial"/>
          <w:szCs w:val="24"/>
        </w:rPr>
        <w:t xml:space="preserve">2.2m </w:t>
      </w:r>
      <w:r w:rsidRPr="00824B09">
        <w:rPr>
          <w:rFonts w:cs="Arial"/>
          <w:szCs w:val="24"/>
        </w:rPr>
        <w:t>of fees is based on such estimates (201</w:t>
      </w:r>
      <w:r>
        <w:rPr>
          <w:rFonts w:cs="Arial"/>
          <w:szCs w:val="24"/>
        </w:rPr>
        <w:t>1</w:t>
      </w:r>
      <w:r w:rsidRPr="00824B09">
        <w:rPr>
          <w:rFonts w:cs="Arial"/>
          <w:szCs w:val="24"/>
        </w:rPr>
        <w:t>/1</w:t>
      </w:r>
      <w:r>
        <w:rPr>
          <w:rFonts w:cs="Arial"/>
          <w:szCs w:val="24"/>
        </w:rPr>
        <w:t>2</w:t>
      </w:r>
      <w:r w:rsidRPr="00824B09">
        <w:rPr>
          <w:rFonts w:cs="Arial"/>
          <w:szCs w:val="24"/>
        </w:rPr>
        <w:t xml:space="preserve"> £1</w:t>
      </w:r>
      <w:r>
        <w:rPr>
          <w:rFonts w:cs="Arial"/>
          <w:szCs w:val="24"/>
        </w:rPr>
        <w:t>.3m</w:t>
      </w:r>
      <w:r w:rsidRPr="00824B09">
        <w:rPr>
          <w:rFonts w:cs="Arial"/>
          <w:szCs w:val="24"/>
        </w:rPr>
        <w:t>).</w:t>
      </w:r>
    </w:p>
    <w:p w:rsidR="002747C3" w:rsidRDefault="002747C3" w:rsidP="002747C3">
      <w:pPr>
        <w:tabs>
          <w:tab w:val="left" w:pos="851"/>
        </w:tabs>
        <w:ind w:left="851"/>
        <w:jc w:val="both"/>
        <w:rPr>
          <w:rFonts w:cs="Arial"/>
          <w:szCs w:val="24"/>
        </w:rPr>
      </w:pPr>
    </w:p>
    <w:p w:rsidR="00897DBF" w:rsidRDefault="002747C3">
      <w:pPr>
        <w:tabs>
          <w:tab w:val="left" w:pos="851"/>
        </w:tabs>
        <w:ind w:left="851"/>
        <w:jc w:val="both"/>
        <w:rPr>
          <w:b/>
          <w:szCs w:val="24"/>
        </w:rPr>
      </w:pPr>
      <w:r>
        <w:rPr>
          <w:rFonts w:cs="Arial"/>
          <w:szCs w:val="24"/>
        </w:rPr>
        <w:t>The costs of the council's in-house fund management team are charged direct to the fund and a proportion of the council's costs representing management time spent by officers on investment management are also charged to the fund.</w:t>
      </w:r>
    </w:p>
    <w:p w:rsidR="003056E9" w:rsidRPr="003B5697" w:rsidRDefault="003056E9" w:rsidP="002747C3">
      <w:pPr>
        <w:rPr>
          <w:b/>
          <w:szCs w:val="24"/>
        </w:rPr>
      </w:pPr>
    </w:p>
    <w:p w:rsidR="003056E9" w:rsidRDefault="003056E9" w:rsidP="002747C3">
      <w:pPr>
        <w:ind w:left="426"/>
        <w:rPr>
          <w:b/>
          <w:szCs w:val="24"/>
        </w:rPr>
      </w:pPr>
    </w:p>
    <w:p w:rsidR="002747C3" w:rsidRDefault="002747C3" w:rsidP="002747C3">
      <w:pPr>
        <w:ind w:left="426"/>
        <w:rPr>
          <w:b/>
          <w:szCs w:val="24"/>
        </w:rPr>
      </w:pPr>
      <w:r>
        <w:rPr>
          <w:b/>
          <w:szCs w:val="24"/>
        </w:rPr>
        <w:t>Net asset statement</w:t>
      </w:r>
    </w:p>
    <w:p w:rsidR="002747C3" w:rsidRPr="00326069" w:rsidRDefault="002747C3" w:rsidP="002747C3">
      <w:pPr>
        <w:rPr>
          <w:b/>
          <w:szCs w:val="24"/>
        </w:rPr>
      </w:pPr>
    </w:p>
    <w:p w:rsidR="002747C3" w:rsidRDefault="002747C3" w:rsidP="002747C3">
      <w:pPr>
        <w:numPr>
          <w:ilvl w:val="0"/>
          <w:numId w:val="4"/>
        </w:numPr>
        <w:tabs>
          <w:tab w:val="clear" w:pos="825"/>
          <w:tab w:val="num" w:pos="851"/>
        </w:tabs>
        <w:ind w:left="1113" w:hanging="546"/>
        <w:rPr>
          <w:b/>
          <w:szCs w:val="24"/>
        </w:rPr>
      </w:pPr>
      <w:r>
        <w:rPr>
          <w:b/>
          <w:szCs w:val="24"/>
        </w:rPr>
        <w:t xml:space="preserve">Financial Instruments </w:t>
      </w:r>
    </w:p>
    <w:p w:rsidR="002747C3" w:rsidRDefault="002747C3" w:rsidP="002747C3">
      <w:pPr>
        <w:ind w:left="1113"/>
        <w:rPr>
          <w:b/>
          <w:szCs w:val="24"/>
        </w:rPr>
      </w:pPr>
    </w:p>
    <w:p w:rsidR="002747C3" w:rsidRDefault="002747C3" w:rsidP="002747C3">
      <w:pPr>
        <w:pStyle w:val="BodyTextIndent2"/>
        <w:tabs>
          <w:tab w:val="left" w:pos="851"/>
        </w:tabs>
        <w:spacing w:after="0"/>
        <w:ind w:left="851"/>
        <w:rPr>
          <w:szCs w:val="24"/>
        </w:rPr>
      </w:pPr>
      <w:r>
        <w:rPr>
          <w:szCs w:val="24"/>
        </w:rPr>
        <w:t>Financial assets are included in the net asset statement on a fair value basis as at the reporting date.  A financial asset is recognised in the net asset statement on the date the fund becomes party to the contractual acquisition of the asset.  From this date any gains or losses arising from changes in the fair value of the asset are recognised by the fund.</w:t>
      </w:r>
    </w:p>
    <w:p w:rsidR="00AB5F81" w:rsidRDefault="00AB5F81"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szCs w:val="24"/>
        </w:rPr>
      </w:pPr>
      <w:r w:rsidRPr="000A78DD">
        <w:rPr>
          <w:szCs w:val="24"/>
        </w:rPr>
        <w:t xml:space="preserve">On initial recognition the Fund </w:t>
      </w:r>
      <w:r>
        <w:rPr>
          <w:szCs w:val="24"/>
        </w:rPr>
        <w:t>is required to classify financial assets and liabilities into held to maturity investments, available for sale financial assets, held for trading, designated at fair value through profit and loss or loans and receivables.</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szCs w:val="24"/>
        </w:rPr>
      </w:pPr>
      <w:r>
        <w:rPr>
          <w:szCs w:val="24"/>
        </w:rPr>
        <w:t>The assets and liabilities held by Lancashire County Pension Fund are classified as designated at fair value through profit and loss, loans and receivables and liabilities at amortised cost.</w:t>
      </w:r>
    </w:p>
    <w:p w:rsidR="002747C3" w:rsidRPr="00384C6F" w:rsidRDefault="002747C3" w:rsidP="002747C3">
      <w:pPr>
        <w:pStyle w:val="BodyTextIndent2"/>
        <w:tabs>
          <w:tab w:val="left" w:pos="851"/>
        </w:tabs>
        <w:spacing w:after="0"/>
        <w:ind w:left="851"/>
        <w:rPr>
          <w:b/>
          <w:szCs w:val="24"/>
        </w:rPr>
      </w:pPr>
    </w:p>
    <w:p w:rsidR="007B730F" w:rsidRDefault="007B730F" w:rsidP="002747C3">
      <w:pPr>
        <w:pStyle w:val="BodyTextIndent2"/>
        <w:tabs>
          <w:tab w:val="left" w:pos="851"/>
        </w:tabs>
        <w:spacing w:after="0"/>
        <w:ind w:left="851"/>
        <w:rPr>
          <w:b/>
          <w:szCs w:val="24"/>
        </w:rPr>
      </w:pPr>
    </w:p>
    <w:p w:rsidR="002747C3" w:rsidRDefault="002747C3" w:rsidP="002747C3">
      <w:pPr>
        <w:pStyle w:val="BodyTextIndent2"/>
        <w:tabs>
          <w:tab w:val="left" w:pos="851"/>
        </w:tabs>
        <w:spacing w:after="0"/>
        <w:ind w:left="851"/>
        <w:rPr>
          <w:b/>
          <w:szCs w:val="24"/>
        </w:rPr>
      </w:pPr>
      <w:r w:rsidRPr="00384C6F">
        <w:rPr>
          <w:b/>
          <w:szCs w:val="24"/>
        </w:rPr>
        <w:t>Financial instruments at fair value through profit or loss</w:t>
      </w:r>
    </w:p>
    <w:p w:rsidR="002747C3" w:rsidRDefault="002747C3" w:rsidP="002747C3">
      <w:pPr>
        <w:pStyle w:val="BodyTextIndent2"/>
        <w:tabs>
          <w:tab w:val="left" w:pos="851"/>
        </w:tabs>
        <w:spacing w:after="0"/>
        <w:ind w:left="851"/>
        <w:rPr>
          <w:b/>
          <w:szCs w:val="24"/>
        </w:rPr>
      </w:pPr>
    </w:p>
    <w:p w:rsidR="002747C3" w:rsidRDefault="002747C3" w:rsidP="002747C3">
      <w:pPr>
        <w:pStyle w:val="BodyTextIndent2"/>
        <w:tabs>
          <w:tab w:val="left" w:pos="851"/>
        </w:tabs>
        <w:spacing w:after="0"/>
        <w:ind w:left="851"/>
        <w:rPr>
          <w:szCs w:val="24"/>
        </w:rPr>
      </w:pPr>
      <w:r>
        <w:rPr>
          <w:szCs w:val="24"/>
        </w:rPr>
        <w:t xml:space="preserve">Financial assets may be designated as at fair value through profit or loss only if such designation (a) eliminates or significantly reduces a measurement or recognition inconsistency; or (b) applies to a group of financial assets, financial liabilities or both that the fund manages and evaluates on a fair value basis; or (c) relates to an instrument that contains an embedded derivative which is not evidently closely related to the host contract.  </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b/>
          <w:szCs w:val="24"/>
        </w:rPr>
      </w:pPr>
      <w:r w:rsidRPr="00384C6F">
        <w:rPr>
          <w:b/>
          <w:szCs w:val="24"/>
        </w:rPr>
        <w:t>Loans and receivables</w:t>
      </w:r>
    </w:p>
    <w:p w:rsidR="002747C3" w:rsidRDefault="002747C3" w:rsidP="002747C3">
      <w:pPr>
        <w:pStyle w:val="BodyTextIndent2"/>
        <w:tabs>
          <w:tab w:val="left" w:pos="851"/>
        </w:tabs>
        <w:spacing w:after="0"/>
        <w:ind w:left="851"/>
        <w:rPr>
          <w:b/>
          <w:szCs w:val="24"/>
        </w:rPr>
      </w:pPr>
    </w:p>
    <w:p w:rsidR="002747C3" w:rsidRDefault="002747C3" w:rsidP="002747C3">
      <w:pPr>
        <w:pStyle w:val="BodyTextIndent2"/>
        <w:tabs>
          <w:tab w:val="left" w:pos="851"/>
        </w:tabs>
        <w:spacing w:after="0"/>
        <w:ind w:left="851"/>
        <w:rPr>
          <w:szCs w:val="24"/>
        </w:rPr>
      </w:pPr>
      <w:r>
        <w:rPr>
          <w:szCs w:val="24"/>
        </w:rPr>
        <w:t>Loans and receivables are non derivative financial assets with fixed or determinable payments that are not quoted in an active market.</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szCs w:val="24"/>
        </w:rPr>
      </w:pPr>
      <w:r>
        <w:rPr>
          <w:szCs w:val="24"/>
        </w:rPr>
        <w:t>The fund's loans and receivables comprise of trade and other receivables and cash deposits.</w:t>
      </w:r>
    </w:p>
    <w:p w:rsidR="002747C3" w:rsidRDefault="002747C3" w:rsidP="002747C3">
      <w:pPr>
        <w:pStyle w:val="BodyTextIndent2"/>
        <w:tabs>
          <w:tab w:val="left" w:pos="851"/>
        </w:tabs>
        <w:spacing w:after="0"/>
        <w:ind w:left="851"/>
        <w:rPr>
          <w:szCs w:val="24"/>
        </w:rPr>
      </w:pPr>
    </w:p>
    <w:p w:rsidR="002747C3" w:rsidRDefault="002747C3" w:rsidP="002747C3">
      <w:pPr>
        <w:pStyle w:val="BodyTextIndent2"/>
        <w:tabs>
          <w:tab w:val="left" w:pos="851"/>
        </w:tabs>
        <w:spacing w:after="0"/>
        <w:ind w:left="851"/>
        <w:rPr>
          <w:b/>
          <w:szCs w:val="24"/>
        </w:rPr>
      </w:pPr>
      <w:r w:rsidRPr="009C228D">
        <w:rPr>
          <w:b/>
          <w:szCs w:val="24"/>
        </w:rPr>
        <w:t>Financial liabilities at amortised cost</w:t>
      </w:r>
    </w:p>
    <w:p w:rsidR="002747C3" w:rsidRDefault="002747C3" w:rsidP="002747C3">
      <w:pPr>
        <w:pStyle w:val="BodyTextIndent2"/>
        <w:tabs>
          <w:tab w:val="left" w:pos="851"/>
        </w:tabs>
        <w:spacing w:after="0"/>
        <w:ind w:left="851"/>
        <w:rPr>
          <w:b/>
          <w:szCs w:val="24"/>
        </w:rPr>
      </w:pPr>
    </w:p>
    <w:p w:rsidR="002747C3" w:rsidRDefault="002747C3" w:rsidP="002747C3">
      <w:pPr>
        <w:pStyle w:val="BodyTextIndent2"/>
        <w:tabs>
          <w:tab w:val="left" w:pos="851"/>
        </w:tabs>
        <w:spacing w:after="0"/>
        <w:ind w:left="851"/>
        <w:rPr>
          <w:szCs w:val="24"/>
        </w:rPr>
      </w:pPr>
      <w:r w:rsidRPr="009C228D">
        <w:rPr>
          <w:szCs w:val="24"/>
        </w:rPr>
        <w:t>Financial liabilities at amortised cost are the default category for financial instruments that do not meet the definition of financial liabilities at fair value through profit and loss.</w:t>
      </w:r>
    </w:p>
    <w:p w:rsidR="009A3AFE" w:rsidRPr="00B94BBC" w:rsidRDefault="009A3AFE" w:rsidP="009A3AFE">
      <w:pPr>
        <w:ind w:left="720"/>
        <w:rPr>
          <w:b/>
          <w:sz w:val="22"/>
          <w:szCs w:val="22"/>
        </w:rPr>
      </w:pPr>
    </w:p>
    <w:p w:rsidR="003056E9" w:rsidRPr="00DE0905" w:rsidRDefault="003056E9" w:rsidP="003056E9">
      <w:pPr>
        <w:numPr>
          <w:ilvl w:val="0"/>
          <w:numId w:val="4"/>
        </w:numPr>
        <w:tabs>
          <w:tab w:val="clear" w:pos="825"/>
          <w:tab w:val="num" w:pos="851"/>
        </w:tabs>
        <w:ind w:left="1113" w:hanging="546"/>
        <w:rPr>
          <w:szCs w:val="24"/>
        </w:rPr>
      </w:pPr>
      <w:r>
        <w:rPr>
          <w:b/>
          <w:szCs w:val="24"/>
        </w:rPr>
        <w:t>Valuation of Investments</w:t>
      </w:r>
    </w:p>
    <w:p w:rsidR="003056E9" w:rsidRPr="00166665" w:rsidRDefault="003056E9" w:rsidP="003056E9">
      <w:pPr>
        <w:ind w:left="1113"/>
        <w:rPr>
          <w:szCs w:val="24"/>
        </w:rPr>
      </w:pPr>
    </w:p>
    <w:p w:rsidR="003056E9" w:rsidRDefault="003056E9" w:rsidP="003056E9">
      <w:pPr>
        <w:pStyle w:val="BodyTextIndent2"/>
        <w:tabs>
          <w:tab w:val="left" w:pos="851"/>
        </w:tabs>
        <w:spacing w:after="0"/>
        <w:ind w:left="851"/>
        <w:rPr>
          <w:szCs w:val="24"/>
        </w:rPr>
      </w:pPr>
      <w:r w:rsidRPr="00166665">
        <w:rPr>
          <w:szCs w:val="24"/>
        </w:rPr>
        <w:t>Investments are shown at their fair value as at 31 March 201</w:t>
      </w:r>
      <w:r>
        <w:rPr>
          <w:szCs w:val="24"/>
        </w:rPr>
        <w:t>3</w:t>
      </w:r>
      <w:r w:rsidRPr="00166665">
        <w:rPr>
          <w:szCs w:val="24"/>
        </w:rPr>
        <w:t>.  The fair value is the current bid price for quoted securities and unitised securities.</w:t>
      </w:r>
    </w:p>
    <w:p w:rsidR="003056E9" w:rsidRPr="00166665" w:rsidRDefault="003056E9" w:rsidP="003056E9">
      <w:pPr>
        <w:pStyle w:val="BodyTextIndent2"/>
        <w:tabs>
          <w:tab w:val="left" w:pos="851"/>
        </w:tabs>
        <w:spacing w:after="0"/>
        <w:ind w:left="851"/>
        <w:rPr>
          <w:szCs w:val="24"/>
        </w:rPr>
      </w:pPr>
    </w:p>
    <w:p w:rsidR="003056E9" w:rsidRDefault="003056E9" w:rsidP="003056E9">
      <w:pPr>
        <w:ind w:left="851"/>
        <w:jc w:val="both"/>
        <w:rPr>
          <w:szCs w:val="24"/>
        </w:rPr>
      </w:pPr>
      <w:r w:rsidRPr="00166665">
        <w:rPr>
          <w:szCs w:val="24"/>
        </w:rPr>
        <w:t>Transaction costs are included</w:t>
      </w:r>
      <w:r>
        <w:rPr>
          <w:szCs w:val="24"/>
        </w:rPr>
        <w:t xml:space="preserve"> in carrying value of investments</w:t>
      </w:r>
      <w:r w:rsidRPr="00166665">
        <w:rPr>
          <w:szCs w:val="24"/>
        </w:rPr>
        <w:t xml:space="preserve">.  Transaction costs include costs charged directly to the Pension Fund, such as fees, commissions paid to agents, brokers and dealers, levies by regulatory agencies and securities exchanges and transfer taxes and duties.  </w:t>
      </w:r>
    </w:p>
    <w:p w:rsidR="003056E9" w:rsidRPr="00166665" w:rsidRDefault="003056E9" w:rsidP="003056E9">
      <w:pPr>
        <w:ind w:left="851"/>
        <w:jc w:val="both"/>
        <w:rPr>
          <w:szCs w:val="24"/>
        </w:rPr>
      </w:pPr>
    </w:p>
    <w:p w:rsidR="003056E9" w:rsidRDefault="003056E9" w:rsidP="003056E9">
      <w:pPr>
        <w:tabs>
          <w:tab w:val="left" w:pos="851"/>
        </w:tabs>
        <w:ind w:left="851"/>
        <w:jc w:val="both"/>
        <w:rPr>
          <w:szCs w:val="24"/>
        </w:rPr>
      </w:pPr>
      <w:r w:rsidRPr="00166665">
        <w:rPr>
          <w:szCs w:val="24"/>
        </w:rPr>
        <w:t>Investments in Private Equity are valued at fair value in accordance with the guidelines issued by the British Venture Capital Association, or equivalent.</w:t>
      </w:r>
    </w:p>
    <w:p w:rsidR="003056E9" w:rsidRDefault="003056E9" w:rsidP="003056E9">
      <w:pPr>
        <w:tabs>
          <w:tab w:val="left" w:pos="851"/>
        </w:tabs>
        <w:ind w:left="851"/>
        <w:jc w:val="both"/>
        <w:rPr>
          <w:szCs w:val="24"/>
        </w:rPr>
      </w:pPr>
    </w:p>
    <w:p w:rsidR="003056E9" w:rsidRDefault="003056E9" w:rsidP="003056E9">
      <w:pPr>
        <w:tabs>
          <w:tab w:val="left" w:pos="851"/>
        </w:tabs>
        <w:ind w:left="851"/>
        <w:jc w:val="both"/>
        <w:rPr>
          <w:szCs w:val="24"/>
        </w:rPr>
      </w:pPr>
      <w:r>
        <w:rPr>
          <w:szCs w:val="24"/>
        </w:rPr>
        <w:t xml:space="preserve">The methodologies adopted in valuing financial instruments are explained in greater detail in </w:t>
      </w:r>
      <w:r w:rsidRPr="00030B7C">
        <w:rPr>
          <w:szCs w:val="24"/>
        </w:rPr>
        <w:t>note 1</w:t>
      </w:r>
      <w:r>
        <w:rPr>
          <w:szCs w:val="24"/>
        </w:rPr>
        <w:t>8</w:t>
      </w:r>
      <w:r w:rsidRPr="00030B7C">
        <w:rPr>
          <w:szCs w:val="24"/>
        </w:rPr>
        <w:t>.</w:t>
      </w:r>
    </w:p>
    <w:p w:rsidR="003056E9" w:rsidRDefault="003056E9" w:rsidP="003056E9">
      <w:pPr>
        <w:tabs>
          <w:tab w:val="left" w:pos="851"/>
        </w:tabs>
        <w:ind w:left="851"/>
        <w:jc w:val="both"/>
        <w:rPr>
          <w:szCs w:val="24"/>
        </w:rPr>
      </w:pPr>
    </w:p>
    <w:p w:rsidR="003056E9" w:rsidRPr="00DE0905" w:rsidRDefault="003056E9" w:rsidP="003056E9">
      <w:pPr>
        <w:numPr>
          <w:ilvl w:val="0"/>
          <w:numId w:val="4"/>
        </w:numPr>
        <w:tabs>
          <w:tab w:val="clear" w:pos="825"/>
          <w:tab w:val="num" w:pos="851"/>
        </w:tabs>
        <w:ind w:left="1113" w:hanging="546"/>
        <w:rPr>
          <w:szCs w:val="24"/>
        </w:rPr>
      </w:pPr>
      <w:r>
        <w:rPr>
          <w:b/>
          <w:szCs w:val="24"/>
        </w:rPr>
        <w:t>Currency Translation</w:t>
      </w:r>
    </w:p>
    <w:p w:rsidR="003056E9" w:rsidRPr="000F6432" w:rsidRDefault="003056E9" w:rsidP="003056E9">
      <w:pPr>
        <w:ind w:left="1113"/>
        <w:rPr>
          <w:szCs w:val="24"/>
        </w:rPr>
      </w:pPr>
    </w:p>
    <w:p w:rsidR="003056E9" w:rsidRDefault="003056E9" w:rsidP="003056E9">
      <w:pPr>
        <w:pStyle w:val="BodyTextIndent2"/>
        <w:tabs>
          <w:tab w:val="left" w:pos="851"/>
        </w:tabs>
        <w:spacing w:after="0"/>
        <w:ind w:left="851"/>
        <w:rPr>
          <w:szCs w:val="24"/>
        </w:rPr>
      </w:pPr>
      <w:r>
        <w:rPr>
          <w:szCs w:val="24"/>
        </w:rPr>
        <w:t>Assets and liabilities</w:t>
      </w:r>
      <w:r w:rsidRPr="00166665">
        <w:rPr>
          <w:szCs w:val="24"/>
        </w:rPr>
        <w:t xml:space="preserve"> denominated in foreign currency are stated in the accounts by the application of the appropriate closing rate of exchange ruling at 31 March 201</w:t>
      </w:r>
      <w:r>
        <w:rPr>
          <w:szCs w:val="24"/>
        </w:rPr>
        <w:t>3.  Any gains or losses are treated as part of a change in market value of investments.</w:t>
      </w:r>
    </w:p>
    <w:p w:rsidR="003056E9" w:rsidRPr="008B2220" w:rsidRDefault="003056E9" w:rsidP="003056E9">
      <w:pPr>
        <w:pStyle w:val="BodyTextIndent2"/>
        <w:tabs>
          <w:tab w:val="left" w:pos="851"/>
        </w:tabs>
        <w:spacing w:after="0"/>
        <w:ind w:left="851"/>
        <w:rPr>
          <w:szCs w:val="24"/>
        </w:rPr>
      </w:pPr>
    </w:p>
    <w:p w:rsidR="003056E9" w:rsidRDefault="003056E9" w:rsidP="003056E9">
      <w:pPr>
        <w:numPr>
          <w:ilvl w:val="0"/>
          <w:numId w:val="4"/>
        </w:numPr>
        <w:tabs>
          <w:tab w:val="clear" w:pos="825"/>
          <w:tab w:val="num" w:pos="851"/>
        </w:tabs>
        <w:ind w:left="1113" w:hanging="546"/>
        <w:rPr>
          <w:b/>
          <w:szCs w:val="24"/>
        </w:rPr>
      </w:pPr>
      <w:r>
        <w:rPr>
          <w:b/>
          <w:szCs w:val="24"/>
        </w:rPr>
        <w:t>Acquisition costs of Investments</w:t>
      </w:r>
    </w:p>
    <w:p w:rsidR="003056E9" w:rsidRDefault="003056E9" w:rsidP="003056E9">
      <w:pPr>
        <w:ind w:left="1113"/>
        <w:rPr>
          <w:b/>
          <w:szCs w:val="24"/>
        </w:rPr>
      </w:pPr>
    </w:p>
    <w:p w:rsidR="003056E9" w:rsidRDefault="003056E9" w:rsidP="003056E9">
      <w:pPr>
        <w:pStyle w:val="BodyTextIndent2"/>
        <w:tabs>
          <w:tab w:val="left" w:pos="851"/>
        </w:tabs>
        <w:spacing w:after="0"/>
        <w:ind w:left="0"/>
        <w:rPr>
          <w:szCs w:val="24"/>
        </w:rPr>
      </w:pPr>
      <w:r>
        <w:rPr>
          <w:szCs w:val="24"/>
        </w:rPr>
        <w:tab/>
        <w:t xml:space="preserve"> T</w:t>
      </w:r>
      <w:r w:rsidRPr="00D37FEA">
        <w:rPr>
          <w:szCs w:val="24"/>
        </w:rPr>
        <w:t xml:space="preserve">he </w:t>
      </w:r>
      <w:r>
        <w:rPr>
          <w:szCs w:val="24"/>
        </w:rPr>
        <w:t>Acquisition costs of investments are included within the purchase price.</w:t>
      </w:r>
    </w:p>
    <w:p w:rsidR="00C664D9" w:rsidRDefault="00C664D9" w:rsidP="003056E9">
      <w:pPr>
        <w:pStyle w:val="BodyTextIndent2"/>
        <w:tabs>
          <w:tab w:val="left" w:pos="851"/>
        </w:tabs>
        <w:spacing w:after="0"/>
        <w:ind w:left="0"/>
        <w:rPr>
          <w:szCs w:val="24"/>
        </w:rPr>
      </w:pPr>
    </w:p>
    <w:p w:rsidR="00C664D9" w:rsidRDefault="00C664D9" w:rsidP="003056E9">
      <w:pPr>
        <w:pStyle w:val="BodyTextIndent2"/>
        <w:tabs>
          <w:tab w:val="left" w:pos="851"/>
        </w:tabs>
        <w:spacing w:after="0"/>
        <w:ind w:left="0"/>
        <w:rPr>
          <w:szCs w:val="24"/>
        </w:rPr>
      </w:pPr>
    </w:p>
    <w:p w:rsidR="007B730F" w:rsidRDefault="007B730F" w:rsidP="003056E9">
      <w:pPr>
        <w:pStyle w:val="BodyTextIndent2"/>
        <w:tabs>
          <w:tab w:val="left" w:pos="851"/>
        </w:tabs>
        <w:spacing w:after="0"/>
        <w:ind w:left="0"/>
        <w:rPr>
          <w:szCs w:val="24"/>
        </w:rPr>
      </w:pPr>
    </w:p>
    <w:p w:rsidR="003056E9" w:rsidRDefault="003056E9" w:rsidP="003056E9">
      <w:pPr>
        <w:pStyle w:val="BodyTextIndent2"/>
        <w:tabs>
          <w:tab w:val="left" w:pos="851"/>
        </w:tabs>
        <w:spacing w:after="0"/>
        <w:rPr>
          <w:szCs w:val="24"/>
        </w:rPr>
      </w:pPr>
    </w:p>
    <w:p w:rsidR="003056E9" w:rsidRDefault="003056E9" w:rsidP="003056E9">
      <w:pPr>
        <w:numPr>
          <w:ilvl w:val="0"/>
          <w:numId w:val="4"/>
        </w:numPr>
        <w:tabs>
          <w:tab w:val="clear" w:pos="825"/>
          <w:tab w:val="num" w:pos="851"/>
        </w:tabs>
        <w:ind w:left="1113" w:hanging="546"/>
        <w:rPr>
          <w:b/>
          <w:szCs w:val="24"/>
        </w:rPr>
      </w:pPr>
      <w:r w:rsidRPr="008B2220">
        <w:rPr>
          <w:b/>
          <w:szCs w:val="24"/>
        </w:rPr>
        <w:t xml:space="preserve"> </w:t>
      </w:r>
      <w:r>
        <w:rPr>
          <w:b/>
          <w:szCs w:val="24"/>
        </w:rPr>
        <w:t>Property</w:t>
      </w:r>
    </w:p>
    <w:p w:rsidR="003056E9" w:rsidRPr="008B2220" w:rsidRDefault="003056E9" w:rsidP="003056E9">
      <w:pPr>
        <w:ind w:left="1113"/>
        <w:rPr>
          <w:b/>
          <w:szCs w:val="24"/>
        </w:rPr>
      </w:pPr>
    </w:p>
    <w:p w:rsidR="003056E9" w:rsidRDefault="003056E9" w:rsidP="003056E9">
      <w:pPr>
        <w:tabs>
          <w:tab w:val="left" w:pos="851"/>
        </w:tabs>
        <w:ind w:left="851"/>
        <w:jc w:val="both"/>
        <w:rPr>
          <w:szCs w:val="24"/>
        </w:rPr>
      </w:pPr>
      <w:r>
        <w:rPr>
          <w:szCs w:val="24"/>
        </w:rPr>
        <w:t>The fund's freehold and leasehold properties were valued on 31 March 2013 by Cushman &amp; Wakefield, acting as External Valuer.  The valuations were in accordance with the requirements of the RICS Valuation standards and the International Valuation Standards.  The valuation of each property was on the basis of Market Value, assuming that the property would be sold subject to any existing leases.  The valuer's opinion of Market Value and Existing Use Value was primarily derived using comparable recent market transactions on arm's length terms.</w:t>
      </w:r>
    </w:p>
    <w:p w:rsidR="003056E9" w:rsidRDefault="003056E9" w:rsidP="003056E9">
      <w:pPr>
        <w:tabs>
          <w:tab w:val="left" w:pos="851"/>
        </w:tabs>
        <w:ind w:left="851"/>
        <w:jc w:val="both"/>
        <w:rPr>
          <w:szCs w:val="24"/>
        </w:rPr>
      </w:pPr>
    </w:p>
    <w:p w:rsidR="003056E9" w:rsidRDefault="003056E9" w:rsidP="003056E9">
      <w:pPr>
        <w:numPr>
          <w:ilvl w:val="0"/>
          <w:numId w:val="4"/>
        </w:numPr>
        <w:tabs>
          <w:tab w:val="clear" w:pos="825"/>
          <w:tab w:val="num" w:pos="851"/>
        </w:tabs>
        <w:ind w:left="1113" w:hanging="546"/>
        <w:rPr>
          <w:b/>
          <w:szCs w:val="24"/>
        </w:rPr>
      </w:pPr>
      <w:r>
        <w:rPr>
          <w:b/>
          <w:szCs w:val="24"/>
        </w:rPr>
        <w:t>Derivatives</w:t>
      </w:r>
    </w:p>
    <w:p w:rsidR="003056E9" w:rsidRDefault="003056E9" w:rsidP="003056E9">
      <w:pPr>
        <w:ind w:left="1113"/>
        <w:rPr>
          <w:b/>
          <w:szCs w:val="24"/>
        </w:rPr>
      </w:pPr>
    </w:p>
    <w:p w:rsidR="003056E9" w:rsidRDefault="003056E9" w:rsidP="003056E9">
      <w:pPr>
        <w:pStyle w:val="BodyTextIndent2"/>
        <w:tabs>
          <w:tab w:val="left" w:pos="851"/>
        </w:tabs>
        <w:spacing w:after="0"/>
        <w:ind w:left="851"/>
        <w:rPr>
          <w:szCs w:val="24"/>
        </w:rPr>
      </w:pPr>
      <w:r>
        <w:rPr>
          <w:szCs w:val="24"/>
        </w:rPr>
        <w:t>The fund uses derivative financial instruments to manage its exposure to specific risks arising from its investment activities.  The fund does not hold derivatives for speculative purposes.</w:t>
      </w:r>
    </w:p>
    <w:p w:rsidR="003056E9" w:rsidRDefault="003056E9" w:rsidP="003056E9">
      <w:pPr>
        <w:pStyle w:val="BodyTextIndent2"/>
        <w:tabs>
          <w:tab w:val="left" w:pos="851"/>
        </w:tabs>
        <w:spacing w:after="0"/>
        <w:ind w:left="851"/>
        <w:rPr>
          <w:szCs w:val="24"/>
        </w:rPr>
      </w:pPr>
    </w:p>
    <w:p w:rsidR="003056E9" w:rsidRDefault="003056E9" w:rsidP="003056E9">
      <w:pPr>
        <w:pStyle w:val="BodyTextIndent2"/>
        <w:tabs>
          <w:tab w:val="left" w:pos="851"/>
        </w:tabs>
        <w:spacing w:after="0"/>
        <w:ind w:left="851"/>
        <w:rPr>
          <w:szCs w:val="24"/>
        </w:rPr>
      </w:pPr>
      <w:r>
        <w:rPr>
          <w:szCs w:val="24"/>
        </w:rPr>
        <w:t>Derivative contract assets are fair valued at bid prices and liabilities are fair valued at offer prices.  Changes in fair value of derivative contracts are included in change in market value.</w:t>
      </w:r>
    </w:p>
    <w:p w:rsidR="003056E9" w:rsidRDefault="003056E9" w:rsidP="003056E9">
      <w:pPr>
        <w:pStyle w:val="BodyTextIndent2"/>
        <w:tabs>
          <w:tab w:val="left" w:pos="851"/>
        </w:tabs>
        <w:spacing w:after="0"/>
        <w:ind w:left="851"/>
        <w:rPr>
          <w:szCs w:val="24"/>
        </w:rPr>
      </w:pPr>
    </w:p>
    <w:p w:rsidR="003056E9" w:rsidRDefault="003056E9" w:rsidP="003056E9">
      <w:pPr>
        <w:pStyle w:val="BodyTextIndent2"/>
        <w:tabs>
          <w:tab w:val="left" w:pos="851"/>
        </w:tabs>
        <w:spacing w:after="0"/>
        <w:ind w:left="851"/>
        <w:rPr>
          <w:szCs w:val="24"/>
        </w:rPr>
      </w:pPr>
      <w:r>
        <w:rPr>
          <w:szCs w:val="24"/>
        </w:rPr>
        <w:t>Future contracts</w:t>
      </w:r>
      <w:r w:rsidRPr="00166665">
        <w:rPr>
          <w:szCs w:val="24"/>
        </w:rPr>
        <w:t xml:space="preserve"> are exchange traded and fair value is determined using exchange prices at their reporting date. </w:t>
      </w:r>
      <w:r>
        <w:rPr>
          <w:szCs w:val="24"/>
        </w:rPr>
        <w:t>Amounts due or owed to the broker are amounts outstanding in respect of initial margin and variation margin.</w:t>
      </w:r>
    </w:p>
    <w:p w:rsidR="003056E9" w:rsidRPr="00166665" w:rsidRDefault="003056E9" w:rsidP="003056E9">
      <w:pPr>
        <w:pStyle w:val="BodyTextIndent2"/>
        <w:tabs>
          <w:tab w:val="left" w:pos="851"/>
        </w:tabs>
        <w:spacing w:after="0"/>
        <w:ind w:left="851"/>
        <w:rPr>
          <w:szCs w:val="24"/>
        </w:rPr>
      </w:pPr>
    </w:p>
    <w:p w:rsidR="009A3AFE" w:rsidRDefault="003056E9" w:rsidP="00AB5F81">
      <w:pPr>
        <w:ind w:left="851"/>
        <w:rPr>
          <w:noProof/>
        </w:rPr>
      </w:pPr>
      <w:r w:rsidRPr="00166665">
        <w:rPr>
          <w:szCs w:val="24"/>
        </w:rPr>
        <w:t>Forward foreign exchange contracts, are over the counter contracts and are valued by determining the gain or loss that arise from closing out the contract at the reporting date, by entering into an equal and opposite contract at that date</w:t>
      </w:r>
      <w:r>
        <w:rPr>
          <w:szCs w:val="24"/>
        </w:rPr>
        <w:t>.</w:t>
      </w:r>
    </w:p>
    <w:p w:rsidR="003056E9" w:rsidRDefault="003056E9" w:rsidP="003056E9">
      <w:pPr>
        <w:numPr>
          <w:ilvl w:val="0"/>
          <w:numId w:val="4"/>
        </w:numPr>
        <w:tabs>
          <w:tab w:val="clear" w:pos="825"/>
          <w:tab w:val="num" w:pos="851"/>
        </w:tabs>
        <w:ind w:left="1113" w:hanging="546"/>
        <w:rPr>
          <w:b/>
          <w:szCs w:val="24"/>
        </w:rPr>
      </w:pPr>
      <w:r>
        <w:rPr>
          <w:b/>
          <w:szCs w:val="24"/>
        </w:rPr>
        <w:t>Cash and cash equivalents</w:t>
      </w:r>
    </w:p>
    <w:p w:rsidR="003056E9" w:rsidRDefault="003056E9" w:rsidP="003056E9">
      <w:pPr>
        <w:ind w:left="1113"/>
        <w:rPr>
          <w:b/>
          <w:szCs w:val="24"/>
        </w:rPr>
      </w:pPr>
    </w:p>
    <w:p w:rsidR="003056E9" w:rsidRDefault="003056E9" w:rsidP="003056E9">
      <w:pPr>
        <w:pStyle w:val="BodyTextIndent2"/>
        <w:tabs>
          <w:tab w:val="left" w:pos="851"/>
        </w:tabs>
        <w:spacing w:after="0"/>
        <w:ind w:left="851"/>
        <w:rPr>
          <w:szCs w:val="24"/>
        </w:rPr>
      </w:pPr>
      <w:r>
        <w:rPr>
          <w:szCs w:val="24"/>
        </w:rPr>
        <w:t>Cash comprises of cash in hand and demand deposits.</w:t>
      </w:r>
    </w:p>
    <w:p w:rsidR="003056E9" w:rsidRDefault="003056E9" w:rsidP="003056E9">
      <w:pPr>
        <w:pStyle w:val="BodyTextIndent2"/>
        <w:tabs>
          <w:tab w:val="left" w:pos="851"/>
        </w:tabs>
        <w:spacing w:after="0"/>
        <w:ind w:left="851"/>
        <w:rPr>
          <w:szCs w:val="24"/>
        </w:rPr>
      </w:pPr>
    </w:p>
    <w:p w:rsidR="003056E9" w:rsidRDefault="003056E9" w:rsidP="003056E9">
      <w:pPr>
        <w:pStyle w:val="BodyTextIndent2"/>
        <w:tabs>
          <w:tab w:val="left" w:pos="851"/>
        </w:tabs>
        <w:spacing w:after="0"/>
        <w:ind w:left="851"/>
        <w:rPr>
          <w:szCs w:val="24"/>
        </w:rPr>
      </w:pPr>
      <w:r>
        <w:rPr>
          <w:szCs w:val="24"/>
        </w:rPr>
        <w:t>Cash equivalents are short-term, highly liquid investments that are readily convertible to known amounts of cash and that are subject to minimal risk of changes in value.</w:t>
      </w:r>
    </w:p>
    <w:p w:rsidR="003056E9" w:rsidRDefault="003056E9" w:rsidP="003056E9">
      <w:pPr>
        <w:pStyle w:val="BodyTextIndent2"/>
        <w:tabs>
          <w:tab w:val="left" w:pos="851"/>
        </w:tabs>
        <w:spacing w:after="0"/>
        <w:ind w:left="851"/>
        <w:rPr>
          <w:szCs w:val="24"/>
        </w:rPr>
      </w:pPr>
    </w:p>
    <w:p w:rsidR="003056E9" w:rsidRDefault="003056E9" w:rsidP="003056E9">
      <w:pPr>
        <w:numPr>
          <w:ilvl w:val="0"/>
          <w:numId w:val="4"/>
        </w:numPr>
        <w:tabs>
          <w:tab w:val="clear" w:pos="825"/>
          <w:tab w:val="num" w:pos="851"/>
        </w:tabs>
        <w:ind w:left="1113" w:hanging="546"/>
        <w:rPr>
          <w:b/>
          <w:szCs w:val="24"/>
        </w:rPr>
      </w:pPr>
      <w:r>
        <w:rPr>
          <w:b/>
          <w:szCs w:val="24"/>
        </w:rPr>
        <w:t>Financial liabilities</w:t>
      </w:r>
    </w:p>
    <w:p w:rsidR="003056E9" w:rsidRDefault="003056E9" w:rsidP="003056E9">
      <w:pPr>
        <w:ind w:left="1113"/>
        <w:rPr>
          <w:b/>
          <w:szCs w:val="24"/>
        </w:rPr>
      </w:pPr>
    </w:p>
    <w:p w:rsidR="00AB5F81" w:rsidRDefault="003056E9" w:rsidP="003056E9">
      <w:pPr>
        <w:pStyle w:val="BodyTextIndent2"/>
        <w:tabs>
          <w:tab w:val="left" w:pos="851"/>
        </w:tabs>
        <w:spacing w:after="0"/>
        <w:ind w:left="851"/>
        <w:rPr>
          <w:szCs w:val="24"/>
        </w:rPr>
      </w:pPr>
      <w:r>
        <w:rPr>
          <w:szCs w:val="24"/>
        </w:rPr>
        <w:t xml:space="preserve">The fund recognises financial liabilities at fair value at the reporting date. A financial liability is recognised in the net asset statement on the date the fund becomes party to a </w:t>
      </w:r>
    </w:p>
    <w:p w:rsidR="003056E9" w:rsidRDefault="003056E9" w:rsidP="003056E9">
      <w:pPr>
        <w:pStyle w:val="BodyTextIndent2"/>
        <w:tabs>
          <w:tab w:val="left" w:pos="851"/>
        </w:tabs>
        <w:spacing w:after="0"/>
        <w:ind w:left="851"/>
        <w:rPr>
          <w:szCs w:val="24"/>
        </w:rPr>
      </w:pPr>
      <w:proofErr w:type="gramStart"/>
      <w:r>
        <w:rPr>
          <w:szCs w:val="24"/>
        </w:rPr>
        <w:t>liability</w:t>
      </w:r>
      <w:proofErr w:type="gramEnd"/>
      <w:r>
        <w:rPr>
          <w:szCs w:val="24"/>
        </w:rPr>
        <w:t>.  From this date any gains or losses arising from changes in the fair value of the liability are recognised by the fund.</w:t>
      </w:r>
    </w:p>
    <w:p w:rsidR="003056E9" w:rsidRDefault="003056E9" w:rsidP="003056E9">
      <w:pPr>
        <w:pStyle w:val="BodyTextIndent2"/>
        <w:tabs>
          <w:tab w:val="left" w:pos="851"/>
        </w:tabs>
        <w:spacing w:after="0"/>
        <w:ind w:left="851"/>
        <w:rPr>
          <w:szCs w:val="24"/>
        </w:rPr>
      </w:pPr>
    </w:p>
    <w:p w:rsidR="003056E9" w:rsidRDefault="003056E9" w:rsidP="003056E9">
      <w:pPr>
        <w:numPr>
          <w:ilvl w:val="0"/>
          <w:numId w:val="4"/>
        </w:numPr>
        <w:tabs>
          <w:tab w:val="clear" w:pos="825"/>
          <w:tab w:val="num" w:pos="851"/>
        </w:tabs>
        <w:ind w:left="1113" w:hanging="546"/>
        <w:rPr>
          <w:b/>
          <w:szCs w:val="24"/>
        </w:rPr>
      </w:pPr>
      <w:r>
        <w:rPr>
          <w:b/>
          <w:szCs w:val="24"/>
        </w:rPr>
        <w:t>Actuarial present value of promised retirement benefits</w:t>
      </w:r>
    </w:p>
    <w:p w:rsidR="003056E9" w:rsidRDefault="003056E9" w:rsidP="003056E9">
      <w:pPr>
        <w:ind w:left="1113"/>
        <w:rPr>
          <w:b/>
          <w:szCs w:val="24"/>
        </w:rPr>
      </w:pPr>
    </w:p>
    <w:p w:rsidR="003056E9" w:rsidRDefault="003056E9" w:rsidP="003056E9">
      <w:pPr>
        <w:pStyle w:val="BodyTextIndent2"/>
        <w:tabs>
          <w:tab w:val="left" w:pos="851"/>
        </w:tabs>
        <w:spacing w:after="0"/>
        <w:ind w:left="851"/>
        <w:rPr>
          <w:szCs w:val="24"/>
        </w:rPr>
      </w:pPr>
      <w:r>
        <w:rPr>
          <w:szCs w:val="24"/>
        </w:rPr>
        <w:t>The actuarial present value of promised retirement benefits is assessed on a triennial basis by the scheme actuary in accordance with the requirements of IAS19 and relevant actuarial standards.</w:t>
      </w:r>
    </w:p>
    <w:p w:rsidR="00C664D9" w:rsidRDefault="00C664D9" w:rsidP="003056E9">
      <w:pPr>
        <w:pStyle w:val="BodyTextIndent2"/>
        <w:tabs>
          <w:tab w:val="left" w:pos="851"/>
        </w:tabs>
        <w:spacing w:after="0"/>
        <w:ind w:left="851"/>
        <w:rPr>
          <w:szCs w:val="24"/>
        </w:rPr>
      </w:pPr>
    </w:p>
    <w:p w:rsidR="003056E9" w:rsidRDefault="003056E9" w:rsidP="003056E9">
      <w:pPr>
        <w:pStyle w:val="BodyTextIndent2"/>
        <w:tabs>
          <w:tab w:val="left" w:pos="851"/>
        </w:tabs>
        <w:spacing w:after="0"/>
        <w:ind w:left="851"/>
        <w:rPr>
          <w:szCs w:val="24"/>
        </w:rPr>
      </w:pPr>
    </w:p>
    <w:p w:rsidR="00C664D9" w:rsidRDefault="00C664D9" w:rsidP="003056E9">
      <w:pPr>
        <w:pStyle w:val="BodyTextIndent2"/>
        <w:tabs>
          <w:tab w:val="left" w:pos="851"/>
        </w:tabs>
        <w:spacing w:after="0"/>
        <w:ind w:left="851"/>
        <w:rPr>
          <w:szCs w:val="24"/>
        </w:rPr>
      </w:pPr>
    </w:p>
    <w:p w:rsidR="00C664D9" w:rsidRDefault="00C664D9" w:rsidP="003056E9">
      <w:pPr>
        <w:pStyle w:val="BodyTextIndent2"/>
        <w:tabs>
          <w:tab w:val="left" w:pos="851"/>
        </w:tabs>
        <w:spacing w:after="0"/>
        <w:ind w:left="851"/>
        <w:rPr>
          <w:szCs w:val="24"/>
        </w:rPr>
      </w:pPr>
    </w:p>
    <w:p w:rsidR="003056E9" w:rsidRDefault="003056E9" w:rsidP="003056E9">
      <w:pPr>
        <w:pStyle w:val="BodyTextIndent2"/>
        <w:tabs>
          <w:tab w:val="left" w:pos="851"/>
        </w:tabs>
        <w:spacing w:after="0"/>
        <w:ind w:left="851"/>
        <w:rPr>
          <w:szCs w:val="24"/>
        </w:rPr>
      </w:pPr>
      <w:r w:rsidRPr="00AD17B7">
        <w:rPr>
          <w:szCs w:val="24"/>
        </w:rPr>
        <w:lastRenderedPageBreak/>
        <w:t>As permitted under IAS 26 the fund has opted to disclose the actuarial present value of promised retirement benefits by way of a note to the net asset statement (Note 3</w:t>
      </w:r>
      <w:r>
        <w:rPr>
          <w:szCs w:val="24"/>
        </w:rPr>
        <w:t>1</w:t>
      </w:r>
      <w:r w:rsidRPr="00AD17B7">
        <w:rPr>
          <w:szCs w:val="24"/>
        </w:rPr>
        <w:t>).</w:t>
      </w:r>
    </w:p>
    <w:p w:rsidR="003056E9" w:rsidRPr="00B853EB" w:rsidRDefault="003056E9" w:rsidP="003056E9">
      <w:pPr>
        <w:pStyle w:val="BodyTextIndent2"/>
        <w:tabs>
          <w:tab w:val="left" w:pos="851"/>
        </w:tabs>
        <w:spacing w:after="0"/>
        <w:ind w:left="851"/>
        <w:rPr>
          <w:szCs w:val="24"/>
        </w:rPr>
      </w:pPr>
    </w:p>
    <w:p w:rsidR="003056E9" w:rsidRDefault="003056E9" w:rsidP="003056E9">
      <w:pPr>
        <w:numPr>
          <w:ilvl w:val="0"/>
          <w:numId w:val="4"/>
        </w:numPr>
        <w:tabs>
          <w:tab w:val="clear" w:pos="825"/>
          <w:tab w:val="num" w:pos="851"/>
        </w:tabs>
        <w:ind w:left="1113" w:hanging="546"/>
        <w:rPr>
          <w:b/>
          <w:szCs w:val="24"/>
        </w:rPr>
      </w:pPr>
      <w:r>
        <w:rPr>
          <w:b/>
          <w:szCs w:val="24"/>
        </w:rPr>
        <w:t>Additional voluntary contributions</w:t>
      </w:r>
    </w:p>
    <w:p w:rsidR="003056E9" w:rsidRPr="00B853EB" w:rsidRDefault="003056E9" w:rsidP="003056E9">
      <w:pPr>
        <w:ind w:left="1113"/>
        <w:rPr>
          <w:b/>
          <w:szCs w:val="24"/>
        </w:rPr>
      </w:pPr>
    </w:p>
    <w:p w:rsidR="003056E9" w:rsidRDefault="003056E9" w:rsidP="003056E9">
      <w:pPr>
        <w:pStyle w:val="BodyTextIndent2"/>
        <w:tabs>
          <w:tab w:val="left" w:pos="851"/>
        </w:tabs>
        <w:spacing w:after="0"/>
        <w:ind w:left="851"/>
        <w:rPr>
          <w:szCs w:val="24"/>
        </w:rPr>
      </w:pPr>
      <w:r w:rsidRPr="00166665">
        <w:rPr>
          <w:szCs w:val="24"/>
        </w:rPr>
        <w:t xml:space="preserve">The </w:t>
      </w:r>
      <w:smartTag w:uri="urn:schemas-microsoft-com:office:smarttags" w:element="stockticker">
        <w:r w:rsidRPr="00166665">
          <w:rPr>
            <w:szCs w:val="24"/>
          </w:rPr>
          <w:t>AVC</w:t>
        </w:r>
      </w:smartTag>
      <w:r w:rsidRPr="00166665">
        <w:rPr>
          <w:szCs w:val="24"/>
        </w:rPr>
        <w:t xml:space="preserve"> providers to the Pension Fund are Equitable Life and Prudential.  The </w:t>
      </w:r>
      <w:smartTag w:uri="urn:schemas-microsoft-com:office:smarttags" w:element="stockticker">
        <w:r w:rsidRPr="00166665">
          <w:rPr>
            <w:szCs w:val="24"/>
          </w:rPr>
          <w:t>AVC</w:t>
        </w:r>
      </w:smartTag>
      <w:r w:rsidRPr="00166665">
        <w:rPr>
          <w:szCs w:val="24"/>
        </w:rPr>
        <w:t xml:space="preserve">’s are invested separately from the Pension Fund’s main assets and used to acquire additional money purchase benefits.  These are not included in the Pension Fund accounts in accordance with </w:t>
      </w:r>
      <w:r>
        <w:rPr>
          <w:szCs w:val="24"/>
        </w:rPr>
        <w:t>section 4(2</w:t>
      </w:r>
      <w:proofErr w:type="gramStart"/>
      <w:r>
        <w:rPr>
          <w:szCs w:val="24"/>
        </w:rPr>
        <w:t>)(</w:t>
      </w:r>
      <w:proofErr w:type="gramEnd"/>
      <w:r>
        <w:rPr>
          <w:szCs w:val="24"/>
        </w:rPr>
        <w:t>b)</w:t>
      </w:r>
      <w:r w:rsidRPr="00166665">
        <w:rPr>
          <w:szCs w:val="24"/>
        </w:rPr>
        <w:t xml:space="preserve"> of the Local Government Pension Scheme (Management and Investment of Funds) Regulations </w:t>
      </w:r>
      <w:r>
        <w:rPr>
          <w:szCs w:val="24"/>
        </w:rPr>
        <w:t>2009</w:t>
      </w:r>
      <w:r w:rsidRPr="00166665">
        <w:rPr>
          <w:szCs w:val="24"/>
        </w:rPr>
        <w:t xml:space="preserve"> (SI </w:t>
      </w:r>
      <w:r>
        <w:rPr>
          <w:szCs w:val="24"/>
        </w:rPr>
        <w:t>2009/3093</w:t>
      </w:r>
      <w:r w:rsidRPr="00166665">
        <w:rPr>
          <w:szCs w:val="24"/>
        </w:rPr>
        <w:t xml:space="preserve">). 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w:t>
      </w:r>
      <w:r>
        <w:rPr>
          <w:szCs w:val="24"/>
        </w:rPr>
        <w:t>ntial is shown in n</w:t>
      </w:r>
      <w:r w:rsidRPr="00433269">
        <w:rPr>
          <w:szCs w:val="24"/>
        </w:rPr>
        <w:t xml:space="preserve">ote </w:t>
      </w:r>
      <w:r>
        <w:rPr>
          <w:szCs w:val="24"/>
        </w:rPr>
        <w:t>20.</w:t>
      </w:r>
    </w:p>
    <w:p w:rsidR="003056E9" w:rsidRDefault="003056E9" w:rsidP="003056E9">
      <w:pPr>
        <w:pStyle w:val="BodyTextIndent2"/>
        <w:tabs>
          <w:tab w:val="left" w:pos="851"/>
        </w:tabs>
        <w:spacing w:after="0"/>
        <w:ind w:left="851"/>
        <w:rPr>
          <w:szCs w:val="24"/>
        </w:rPr>
      </w:pPr>
    </w:p>
    <w:p w:rsidR="003056E9" w:rsidRPr="00661385" w:rsidRDefault="003056E9" w:rsidP="003056E9">
      <w:pPr>
        <w:pStyle w:val="ListParagraph"/>
        <w:numPr>
          <w:ilvl w:val="0"/>
          <w:numId w:val="4"/>
        </w:numPr>
        <w:tabs>
          <w:tab w:val="clear" w:pos="825"/>
        </w:tabs>
        <w:ind w:left="851" w:hanging="284"/>
        <w:rPr>
          <w:b/>
        </w:rPr>
      </w:pPr>
      <w:r w:rsidRPr="00661385">
        <w:rPr>
          <w:b/>
        </w:rPr>
        <w:t>Securities Lending</w:t>
      </w:r>
    </w:p>
    <w:p w:rsidR="003056E9" w:rsidRDefault="003056E9" w:rsidP="003056E9">
      <w:pPr>
        <w:ind w:firstLine="851"/>
        <w:rPr>
          <w:b/>
        </w:rPr>
      </w:pPr>
    </w:p>
    <w:p w:rsidR="003056E9" w:rsidRDefault="003056E9" w:rsidP="003056E9">
      <w:pPr>
        <w:ind w:left="851"/>
      </w:pPr>
      <w:r>
        <w:t>Investments lent under securities lending arrangements continue to be recognised in the net asset statement to reflect the scheme's continuing economic interest in the securities and are measured in accordance with the accounting policy for assets 'At fair value through income statement' or 'Available for sale' as appropriate.</w:t>
      </w:r>
    </w:p>
    <w:p w:rsidR="003056E9" w:rsidRDefault="003056E9" w:rsidP="003056E9">
      <w:pPr>
        <w:ind w:left="851"/>
      </w:pPr>
      <w:r w:rsidRPr="00B6433E">
        <w:rPr>
          <w:szCs w:val="24"/>
        </w:rPr>
        <w:t xml:space="preserve">Collateral is marked to market, and adjusted daily. </w:t>
      </w:r>
      <w:r w:rsidR="00EB29C5">
        <w:rPr>
          <w:szCs w:val="24"/>
        </w:rPr>
        <w:t>As t</w:t>
      </w:r>
      <w:r w:rsidRPr="00B6433E">
        <w:rPr>
          <w:szCs w:val="24"/>
        </w:rPr>
        <w:t xml:space="preserve">he Fund has </w:t>
      </w:r>
      <w:r w:rsidR="00EB29C5">
        <w:rPr>
          <w:szCs w:val="24"/>
        </w:rPr>
        <w:t>an</w:t>
      </w:r>
      <w:r w:rsidRPr="00B6433E">
        <w:rPr>
          <w:szCs w:val="24"/>
        </w:rPr>
        <w:t xml:space="preserve"> obligation to return the collateral to the borrowers, collateral is excluded from the Fund valuation</w:t>
      </w:r>
      <w:r>
        <w:rPr>
          <w:szCs w:val="24"/>
        </w:rPr>
        <w:t>.</w:t>
      </w:r>
    </w:p>
    <w:p w:rsidR="003056E9" w:rsidRDefault="003056E9" w:rsidP="003056E9"/>
    <w:p w:rsidR="003056E9" w:rsidRDefault="003056E9" w:rsidP="003056E9">
      <w:pPr>
        <w:pStyle w:val="NormalWeb"/>
        <w:numPr>
          <w:ilvl w:val="0"/>
          <w:numId w:val="4"/>
        </w:numPr>
        <w:tabs>
          <w:tab w:val="clear" w:pos="825"/>
        </w:tabs>
        <w:ind w:left="851" w:hanging="284"/>
        <w:rPr>
          <w:rFonts w:ascii="Arial" w:eastAsiaTheme="minorHAnsi" w:hAnsi="Arial" w:cstheme="minorBidi"/>
          <w:b/>
          <w:bCs/>
          <w:szCs w:val="22"/>
          <w:lang w:eastAsia="en-US"/>
        </w:rPr>
      </w:pPr>
      <w:r>
        <w:rPr>
          <w:rFonts w:ascii="Arial" w:eastAsiaTheme="minorHAnsi" w:hAnsi="Arial" w:cstheme="minorBidi"/>
          <w:b/>
          <w:bCs/>
          <w:szCs w:val="22"/>
          <w:lang w:eastAsia="en-US"/>
        </w:rPr>
        <w:t>C</w:t>
      </w:r>
      <w:r w:rsidRPr="00EE30FE">
        <w:rPr>
          <w:rFonts w:ascii="Arial" w:eastAsiaTheme="minorHAnsi" w:hAnsi="Arial" w:cstheme="minorBidi"/>
          <w:b/>
          <w:bCs/>
          <w:szCs w:val="22"/>
          <w:lang w:eastAsia="en-US"/>
        </w:rPr>
        <w:t>ontingent liabilities and contingent assets   </w:t>
      </w:r>
    </w:p>
    <w:p w:rsidR="003056E9" w:rsidRPr="00EE30FE" w:rsidRDefault="003056E9" w:rsidP="003056E9">
      <w:pPr>
        <w:pStyle w:val="NormalWeb"/>
        <w:ind w:left="851"/>
        <w:jc w:val="both"/>
        <w:rPr>
          <w:rFonts w:ascii="Arial" w:eastAsiaTheme="minorHAnsi" w:hAnsi="Arial" w:cstheme="minorBidi"/>
          <w:szCs w:val="22"/>
          <w:lang w:eastAsia="en-US"/>
        </w:rPr>
      </w:pPr>
      <w:r w:rsidRPr="00EE30FE">
        <w:rPr>
          <w:rFonts w:ascii="Arial" w:eastAsiaTheme="minorHAnsi" w:hAnsi="Arial" w:cstheme="minorBidi"/>
          <w:szCs w:val="22"/>
          <w:lang w:eastAsia="en-US"/>
        </w:rPr>
        <w:t xml:space="preserve">A contingent liability is a possible obligation that arises from past events whose existence will be confirmed by the occurrence or non-occurrence of one or more uncertain future events beyond the control of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or a present obligation that is not recognised because it is not probable that an outflow of resources will be required to settle the obligation. A contingent liability also arises in extremely rare cases where there is a liability that cannot be recognised because it cannot be measured reliably.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does not recognise a contingent liability but discloses its existence in the financial statements.</w:t>
      </w:r>
    </w:p>
    <w:p w:rsidR="00897DBF" w:rsidRDefault="003056E9">
      <w:pPr>
        <w:pStyle w:val="BodyTextIndent2"/>
        <w:ind w:left="851"/>
        <w:rPr>
          <w:szCs w:val="24"/>
        </w:rPr>
      </w:pPr>
      <w:r w:rsidRPr="00EE30FE">
        <w:rPr>
          <w:rFonts w:eastAsiaTheme="minorHAnsi" w:cstheme="minorBidi"/>
          <w:szCs w:val="22"/>
          <w:lang w:eastAsia="en-US"/>
        </w:rPr>
        <w:t xml:space="preserve">A contingent asset is a possible asset that arises from past events whose existence will be confirmed by the occurrence or non-occurrence of one or more uncertain future events beyond the control of the </w:t>
      </w:r>
      <w:r>
        <w:rPr>
          <w:rFonts w:eastAsiaTheme="minorHAnsi" w:cstheme="minorBidi"/>
          <w:szCs w:val="22"/>
          <w:lang w:eastAsia="en-US"/>
        </w:rPr>
        <w:t>Fund</w:t>
      </w:r>
      <w:r w:rsidRPr="00EE30FE">
        <w:rPr>
          <w:rFonts w:eastAsiaTheme="minorHAnsi" w:cstheme="minorBidi"/>
          <w:szCs w:val="22"/>
          <w:lang w:eastAsia="en-US"/>
        </w:rPr>
        <w:t xml:space="preserve">. The </w:t>
      </w:r>
      <w:r>
        <w:rPr>
          <w:rFonts w:eastAsiaTheme="minorHAnsi" w:cstheme="minorBidi"/>
          <w:szCs w:val="22"/>
          <w:lang w:eastAsia="en-US"/>
        </w:rPr>
        <w:t>Fund</w:t>
      </w:r>
      <w:r w:rsidRPr="00EE30FE">
        <w:rPr>
          <w:rFonts w:eastAsiaTheme="minorHAnsi" w:cstheme="minorBidi"/>
          <w:szCs w:val="22"/>
          <w:lang w:eastAsia="en-US"/>
        </w:rPr>
        <w:t xml:space="preserve"> does not recognise contingent assets but discloses its existence where inflows of economic benefits are probable, but not virtually </w:t>
      </w:r>
      <w:r w:rsidR="00670114" w:rsidRPr="00670114">
        <w:rPr>
          <w:rFonts w:eastAsiaTheme="minorHAnsi" w:cstheme="minorBidi"/>
          <w:szCs w:val="22"/>
          <w:lang w:eastAsia="en-US"/>
        </w:rPr>
        <w:t>certain.</w:t>
      </w:r>
    </w:p>
    <w:p w:rsidR="00AB5F81" w:rsidRPr="00396887" w:rsidRDefault="00AB5F81" w:rsidP="003056E9">
      <w:pPr>
        <w:pStyle w:val="BodyTextIndent2"/>
        <w:tabs>
          <w:tab w:val="left" w:pos="851"/>
        </w:tabs>
        <w:spacing w:after="0"/>
        <w:ind w:left="0"/>
        <w:rPr>
          <w:szCs w:val="24"/>
        </w:rPr>
      </w:pPr>
    </w:p>
    <w:p w:rsidR="00897DBF" w:rsidRDefault="00670114">
      <w:pPr>
        <w:pStyle w:val="BodyTextIndent2"/>
        <w:numPr>
          <w:ilvl w:val="0"/>
          <w:numId w:val="2"/>
        </w:numPr>
        <w:spacing w:after="0"/>
        <w:rPr>
          <w:b/>
          <w:szCs w:val="24"/>
        </w:rPr>
      </w:pPr>
      <w:r>
        <w:rPr>
          <w:b/>
          <w:szCs w:val="24"/>
        </w:rPr>
        <w:t>Critical Judgements in applying accounting policies</w:t>
      </w:r>
    </w:p>
    <w:p w:rsidR="003056E9" w:rsidRDefault="003056E9" w:rsidP="003056E9">
      <w:pPr>
        <w:pStyle w:val="BodyTextIndent2"/>
        <w:tabs>
          <w:tab w:val="left" w:pos="851"/>
        </w:tabs>
        <w:spacing w:after="0"/>
        <w:rPr>
          <w:szCs w:val="24"/>
        </w:rPr>
      </w:pPr>
    </w:p>
    <w:p w:rsidR="00396887" w:rsidRPr="00396887" w:rsidRDefault="00670114" w:rsidP="003056E9">
      <w:pPr>
        <w:pStyle w:val="BodyTextIndent2"/>
        <w:tabs>
          <w:tab w:val="left" w:pos="851"/>
        </w:tabs>
        <w:spacing w:after="0"/>
        <w:rPr>
          <w:szCs w:val="24"/>
        </w:rPr>
      </w:pPr>
      <w:r w:rsidRPr="00670114">
        <w:rPr>
          <w:rFonts w:cs="Arial"/>
          <w:szCs w:val="24"/>
        </w:rPr>
        <w:t xml:space="preserve">The fund has recognised a deposit with </w:t>
      </w:r>
      <w:proofErr w:type="spellStart"/>
      <w:r w:rsidRPr="00670114">
        <w:rPr>
          <w:rFonts w:cs="Arial"/>
          <w:szCs w:val="24"/>
        </w:rPr>
        <w:t>Landsbanki</w:t>
      </w:r>
      <w:proofErr w:type="spellEnd"/>
      <w:r w:rsidRPr="00670114">
        <w:rPr>
          <w:rFonts w:cs="Arial"/>
          <w:szCs w:val="24"/>
        </w:rPr>
        <w:t xml:space="preserve"> as an asset on the balance sheet as at 31</w:t>
      </w:r>
      <w:r w:rsidRPr="00670114">
        <w:rPr>
          <w:rFonts w:cs="Arial"/>
          <w:szCs w:val="24"/>
          <w:vertAlign w:val="superscript"/>
        </w:rPr>
        <w:t>st</w:t>
      </w:r>
      <w:r w:rsidRPr="00670114">
        <w:rPr>
          <w:rFonts w:cs="Arial"/>
          <w:szCs w:val="24"/>
        </w:rPr>
        <w:t xml:space="preserve"> March 2013.  Judgement is required in determining the recoverability of this asset at each balance sheet date.  The Fund has assessed recoverability with reference to </w:t>
      </w:r>
      <w:proofErr w:type="spellStart"/>
      <w:r w:rsidRPr="00670114">
        <w:rPr>
          <w:rFonts w:cs="Arial"/>
          <w:szCs w:val="24"/>
        </w:rPr>
        <w:t>Landsbanki's</w:t>
      </w:r>
      <w:proofErr w:type="spellEnd"/>
      <w:r w:rsidRPr="00670114">
        <w:rPr>
          <w:rFonts w:cs="Arial"/>
          <w:szCs w:val="24"/>
        </w:rPr>
        <w:t xml:space="preserve"> financial position as at 31</w:t>
      </w:r>
      <w:r w:rsidRPr="00670114">
        <w:rPr>
          <w:rFonts w:cs="Arial"/>
          <w:szCs w:val="24"/>
          <w:vertAlign w:val="superscript"/>
        </w:rPr>
        <w:t>st</w:t>
      </w:r>
      <w:r w:rsidRPr="00670114">
        <w:rPr>
          <w:rFonts w:cs="Arial"/>
          <w:szCs w:val="24"/>
        </w:rPr>
        <w:t xml:space="preserve"> December 2012 as published by the bank's Winding </w:t>
      </w:r>
      <w:proofErr w:type="gramStart"/>
      <w:r w:rsidRPr="00670114">
        <w:rPr>
          <w:rFonts w:cs="Arial"/>
          <w:szCs w:val="24"/>
        </w:rPr>
        <w:t>Up</w:t>
      </w:r>
      <w:proofErr w:type="gramEnd"/>
      <w:r w:rsidRPr="00670114">
        <w:rPr>
          <w:rFonts w:cs="Arial"/>
          <w:szCs w:val="24"/>
        </w:rPr>
        <w:t xml:space="preserve"> Board and considers that it is likely that 100% of the deposit, subject to exchange rate fluctuations, will be recovered.</w:t>
      </w:r>
      <w:r w:rsidR="00396887">
        <w:rPr>
          <w:rFonts w:cs="Arial"/>
          <w:szCs w:val="24"/>
        </w:rPr>
        <w:t xml:space="preserve">  This is in line with advice issued by CIPFA and LAPFF.</w:t>
      </w:r>
    </w:p>
    <w:p w:rsidR="00150346" w:rsidRDefault="00150346" w:rsidP="003056E9">
      <w:pPr>
        <w:tabs>
          <w:tab w:val="left" w:pos="567"/>
        </w:tabs>
        <w:ind w:left="567"/>
        <w:rPr>
          <w:szCs w:val="24"/>
        </w:rPr>
      </w:pPr>
    </w:p>
    <w:p w:rsidR="006F1694" w:rsidRDefault="006F1694" w:rsidP="003056E9">
      <w:pPr>
        <w:tabs>
          <w:tab w:val="left" w:pos="567"/>
        </w:tabs>
        <w:ind w:left="567"/>
        <w:rPr>
          <w:szCs w:val="24"/>
        </w:rPr>
      </w:pPr>
    </w:p>
    <w:p w:rsidR="003056E9" w:rsidRPr="00636AC9" w:rsidRDefault="003056E9" w:rsidP="003056E9">
      <w:pPr>
        <w:pStyle w:val="BodyTextIndent"/>
        <w:numPr>
          <w:ilvl w:val="0"/>
          <w:numId w:val="2"/>
        </w:numPr>
        <w:tabs>
          <w:tab w:val="clear" w:pos="720"/>
          <w:tab w:val="clear" w:pos="1080"/>
          <w:tab w:val="num" w:pos="567"/>
          <w:tab w:val="num" w:pos="862"/>
        </w:tabs>
        <w:spacing w:after="0"/>
        <w:ind w:left="567" w:hanging="567"/>
        <w:rPr>
          <w:b/>
          <w:szCs w:val="24"/>
        </w:rPr>
      </w:pPr>
      <w:r w:rsidRPr="00D37FEA">
        <w:rPr>
          <w:b/>
          <w:szCs w:val="24"/>
        </w:rPr>
        <w:lastRenderedPageBreak/>
        <w:t xml:space="preserve">Assumptions </w:t>
      </w:r>
      <w:r w:rsidRPr="00D37FEA">
        <w:rPr>
          <w:b/>
        </w:rPr>
        <w:t>made about the future and other major sources of estimated uncertainty</w:t>
      </w:r>
    </w:p>
    <w:p w:rsidR="003056E9" w:rsidRPr="00D37FEA" w:rsidRDefault="003056E9" w:rsidP="003056E9">
      <w:pPr>
        <w:pStyle w:val="BodyTextIndent"/>
        <w:tabs>
          <w:tab w:val="clear" w:pos="1080"/>
        </w:tabs>
        <w:spacing w:after="0"/>
        <w:ind w:left="709"/>
        <w:rPr>
          <w:b/>
          <w:szCs w:val="24"/>
        </w:rPr>
      </w:pPr>
    </w:p>
    <w:p w:rsidR="003056E9" w:rsidRDefault="003056E9" w:rsidP="003056E9">
      <w:pPr>
        <w:pStyle w:val="BodyTextIndent2"/>
        <w:tabs>
          <w:tab w:val="left" w:pos="709"/>
        </w:tabs>
        <w:spacing w:after="0"/>
        <w:ind w:left="567"/>
        <w:rPr>
          <w:szCs w:val="24"/>
        </w:rPr>
      </w:pPr>
      <w:r>
        <w:rPr>
          <w:szCs w:val="24"/>
        </w:rPr>
        <w:t xml:space="preserve">The Statement of Accounts </w:t>
      </w:r>
      <w:r w:rsidRPr="00D37FEA">
        <w:rPr>
          <w:szCs w:val="24"/>
        </w:rPr>
        <w:t>contains estimated figures that are based on</w:t>
      </w:r>
      <w:r>
        <w:rPr>
          <w:szCs w:val="24"/>
        </w:rPr>
        <w:t xml:space="preserve"> assumptions made by</w:t>
      </w:r>
      <w:r w:rsidRPr="00D37FEA">
        <w:rPr>
          <w:szCs w:val="24"/>
        </w:rPr>
        <w:t xml:space="preserve"> the Pension Fund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rsidR="003056E9" w:rsidRDefault="003056E9" w:rsidP="003056E9">
      <w:pPr>
        <w:pStyle w:val="BodyTextIndent2"/>
        <w:tabs>
          <w:tab w:val="left" w:pos="709"/>
        </w:tabs>
        <w:spacing w:after="0"/>
        <w:ind w:left="567"/>
        <w:rPr>
          <w:szCs w:val="24"/>
        </w:rPr>
      </w:pPr>
    </w:p>
    <w:p w:rsidR="003056E9" w:rsidRDefault="003056E9" w:rsidP="003056E9">
      <w:pPr>
        <w:pStyle w:val="BodyTextIndent2"/>
        <w:tabs>
          <w:tab w:val="left" w:pos="851"/>
        </w:tabs>
        <w:spacing w:after="0"/>
        <w:ind w:left="567"/>
        <w:rPr>
          <w:szCs w:val="24"/>
        </w:rPr>
      </w:pPr>
      <w:r w:rsidRPr="00D37FEA">
        <w:rPr>
          <w:szCs w:val="24"/>
        </w:rPr>
        <w:t>The items in the Pension Fund's net asset statement at 31 March 201</w:t>
      </w:r>
      <w:r>
        <w:rPr>
          <w:szCs w:val="24"/>
        </w:rPr>
        <w:t>3</w:t>
      </w:r>
      <w:r w:rsidRPr="00D37FEA">
        <w:rPr>
          <w:szCs w:val="24"/>
        </w:rPr>
        <w:t xml:space="preserve"> for which there is a significant risk of material adjustment in the forthcoming year are as follows:</w:t>
      </w:r>
    </w:p>
    <w:p w:rsidR="00150346" w:rsidRPr="00D37FEA" w:rsidRDefault="00150346" w:rsidP="003056E9">
      <w:pPr>
        <w:pStyle w:val="BodyTextIndent2"/>
        <w:tabs>
          <w:tab w:val="left" w:pos="851"/>
        </w:tabs>
        <w:spacing w:after="0"/>
        <w:ind w:left="567"/>
        <w:rPr>
          <w:szCs w:val="24"/>
        </w:rPr>
      </w:pPr>
    </w:p>
    <w:p w:rsidR="003056E9" w:rsidRDefault="003056E9" w:rsidP="003056E9"/>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4161"/>
        <w:gridCol w:w="4086"/>
      </w:tblGrid>
      <w:tr w:rsidR="003056E9" w:rsidTr="003056E9">
        <w:tc>
          <w:tcPr>
            <w:tcW w:w="1662" w:type="dxa"/>
          </w:tcPr>
          <w:p w:rsidR="003056E9" w:rsidRPr="00834B94" w:rsidRDefault="003056E9" w:rsidP="003056E9">
            <w:pPr>
              <w:rPr>
                <w:szCs w:val="22"/>
              </w:rPr>
            </w:pPr>
            <w:r w:rsidRPr="00834B94">
              <w:rPr>
                <w:sz w:val="22"/>
                <w:szCs w:val="22"/>
              </w:rPr>
              <w:t>Item</w:t>
            </w:r>
          </w:p>
        </w:tc>
        <w:tc>
          <w:tcPr>
            <w:tcW w:w="0" w:type="auto"/>
          </w:tcPr>
          <w:p w:rsidR="003056E9" w:rsidRPr="00834B94" w:rsidRDefault="003056E9" w:rsidP="003056E9">
            <w:pPr>
              <w:rPr>
                <w:szCs w:val="22"/>
              </w:rPr>
            </w:pPr>
            <w:r w:rsidRPr="00834B94">
              <w:rPr>
                <w:sz w:val="22"/>
                <w:szCs w:val="22"/>
              </w:rPr>
              <w:t>Uncertainties</w:t>
            </w:r>
          </w:p>
        </w:tc>
        <w:tc>
          <w:tcPr>
            <w:tcW w:w="0" w:type="auto"/>
          </w:tcPr>
          <w:p w:rsidR="003056E9" w:rsidRPr="00834B94" w:rsidRDefault="003056E9" w:rsidP="003056E9">
            <w:pPr>
              <w:rPr>
                <w:szCs w:val="22"/>
              </w:rPr>
            </w:pPr>
            <w:r w:rsidRPr="00834B94">
              <w:rPr>
                <w:sz w:val="22"/>
                <w:szCs w:val="22"/>
              </w:rPr>
              <w:t>Impact if actual results differ from assumptions</w:t>
            </w:r>
          </w:p>
        </w:tc>
      </w:tr>
      <w:tr w:rsidR="003056E9" w:rsidTr="003056E9">
        <w:trPr>
          <w:trHeight w:val="2088"/>
        </w:trPr>
        <w:tc>
          <w:tcPr>
            <w:tcW w:w="1662" w:type="dxa"/>
          </w:tcPr>
          <w:p w:rsidR="003056E9" w:rsidRPr="00834B94" w:rsidRDefault="003056E9" w:rsidP="003056E9">
            <w:pPr>
              <w:rPr>
                <w:szCs w:val="22"/>
              </w:rPr>
            </w:pPr>
            <w:r w:rsidRPr="00834B94">
              <w:rPr>
                <w:sz w:val="22"/>
                <w:szCs w:val="22"/>
              </w:rPr>
              <w:t>Private Equity</w:t>
            </w:r>
            <w:r w:rsidR="00FE6F9A">
              <w:rPr>
                <w:sz w:val="22"/>
                <w:szCs w:val="22"/>
              </w:rPr>
              <w:t xml:space="preserve"> and Infrastructure</w:t>
            </w:r>
          </w:p>
        </w:tc>
        <w:tc>
          <w:tcPr>
            <w:tcW w:w="0" w:type="auto"/>
          </w:tcPr>
          <w:p w:rsidR="001E5D39" w:rsidRDefault="00670114">
            <w:pPr>
              <w:rPr>
                <w:szCs w:val="22"/>
              </w:rPr>
            </w:pPr>
            <w:r w:rsidRPr="00670114">
              <w:rPr>
                <w:sz w:val="22"/>
                <w:szCs w:val="22"/>
              </w:rPr>
              <w:t>Private Equity and Infrastructure investments are valued at fair value in accordance with British Private Equity and Venture Capital Association guidelines / International Private Equity and Venture Capital Valuation guidelines or equivalent.  These investments are not publicly listed and as such there is a degree of estimation involved in the valuation.</w:t>
            </w:r>
          </w:p>
        </w:tc>
        <w:tc>
          <w:tcPr>
            <w:tcW w:w="0" w:type="auto"/>
          </w:tcPr>
          <w:p w:rsidR="00376AEA" w:rsidRDefault="001428E6">
            <w:pPr>
              <w:rPr>
                <w:szCs w:val="22"/>
              </w:rPr>
            </w:pPr>
            <w:proofErr w:type="gramStart"/>
            <w:r>
              <w:rPr>
                <w:sz w:val="22"/>
                <w:szCs w:val="22"/>
              </w:rPr>
              <w:t>The</w:t>
            </w:r>
            <w:r w:rsidR="003056E9" w:rsidRPr="009A36EC">
              <w:rPr>
                <w:sz w:val="22"/>
                <w:szCs w:val="22"/>
              </w:rPr>
              <w:t xml:space="preserve">  </w:t>
            </w:r>
            <w:r>
              <w:rPr>
                <w:sz w:val="22"/>
                <w:szCs w:val="22"/>
              </w:rPr>
              <w:t>p</w:t>
            </w:r>
            <w:r w:rsidR="003056E9" w:rsidRPr="009A36EC">
              <w:rPr>
                <w:sz w:val="22"/>
                <w:szCs w:val="22"/>
              </w:rPr>
              <w:t>rivate</w:t>
            </w:r>
            <w:proofErr w:type="gramEnd"/>
            <w:r w:rsidR="003056E9" w:rsidRPr="009A36EC">
              <w:rPr>
                <w:sz w:val="22"/>
                <w:szCs w:val="22"/>
              </w:rPr>
              <w:t xml:space="preserve"> </w:t>
            </w:r>
            <w:r>
              <w:rPr>
                <w:sz w:val="22"/>
                <w:szCs w:val="22"/>
              </w:rPr>
              <w:t>e</w:t>
            </w:r>
            <w:r w:rsidR="003056E9" w:rsidRPr="009A36EC">
              <w:rPr>
                <w:sz w:val="22"/>
                <w:szCs w:val="22"/>
              </w:rPr>
              <w:t xml:space="preserve">quity </w:t>
            </w:r>
            <w:r w:rsidR="00FE6F9A">
              <w:rPr>
                <w:sz w:val="22"/>
                <w:szCs w:val="22"/>
              </w:rPr>
              <w:t xml:space="preserve">and </w:t>
            </w:r>
            <w:r>
              <w:rPr>
                <w:sz w:val="22"/>
                <w:szCs w:val="22"/>
              </w:rPr>
              <w:t>i</w:t>
            </w:r>
            <w:r w:rsidR="00FE6F9A">
              <w:rPr>
                <w:sz w:val="22"/>
                <w:szCs w:val="22"/>
              </w:rPr>
              <w:t xml:space="preserve">nfrastructure </w:t>
            </w:r>
            <w:r w:rsidR="003056E9" w:rsidRPr="009A36EC">
              <w:rPr>
                <w:sz w:val="22"/>
                <w:szCs w:val="22"/>
              </w:rPr>
              <w:t>investments in the financial statements are £</w:t>
            </w:r>
            <w:r w:rsidR="00FE6F9A">
              <w:rPr>
                <w:sz w:val="22"/>
                <w:szCs w:val="22"/>
              </w:rPr>
              <w:t>383.5</w:t>
            </w:r>
            <w:r w:rsidR="003056E9" w:rsidRPr="009A36EC">
              <w:rPr>
                <w:sz w:val="22"/>
                <w:szCs w:val="22"/>
              </w:rPr>
              <w:t>m.  There is a risk that this investment may be under or overstated in the accounts.</w:t>
            </w:r>
          </w:p>
        </w:tc>
      </w:tr>
      <w:tr w:rsidR="003056E9" w:rsidTr="003056E9">
        <w:trPr>
          <w:trHeight w:val="2088"/>
        </w:trPr>
        <w:tc>
          <w:tcPr>
            <w:tcW w:w="1662" w:type="dxa"/>
            <w:tcBorders>
              <w:top w:val="single" w:sz="4" w:space="0" w:color="auto"/>
              <w:left w:val="single" w:sz="4" w:space="0" w:color="auto"/>
              <w:bottom w:val="single" w:sz="4" w:space="0" w:color="auto"/>
              <w:right w:val="single" w:sz="4" w:space="0" w:color="auto"/>
            </w:tcBorders>
          </w:tcPr>
          <w:p w:rsidR="003056E9" w:rsidRPr="00834B94" w:rsidRDefault="003056E9" w:rsidP="003056E9">
            <w:pPr>
              <w:rPr>
                <w:sz w:val="22"/>
                <w:szCs w:val="22"/>
              </w:rPr>
            </w:pPr>
            <w:r w:rsidRPr="00834B94">
              <w:rPr>
                <w:sz w:val="22"/>
                <w:szCs w:val="22"/>
              </w:rPr>
              <w:t>Pensions Liability</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tblPr>
            <w:tblGrid>
              <w:gridCol w:w="3945"/>
            </w:tblGrid>
            <w:tr w:rsidR="003056E9" w:rsidRPr="00834B94" w:rsidTr="003056E9">
              <w:trPr>
                <w:trHeight w:val="3077"/>
              </w:trPr>
              <w:tc>
                <w:tcPr>
                  <w:tcW w:w="0" w:type="auto"/>
                </w:tcPr>
                <w:p w:rsidR="003056E9" w:rsidRPr="00834B94" w:rsidRDefault="003056E9" w:rsidP="003056E9">
                  <w:pPr>
                    <w:pStyle w:val="Default"/>
                    <w:rPr>
                      <w:sz w:val="22"/>
                      <w:szCs w:val="22"/>
                    </w:rPr>
                  </w:pPr>
                  <w:r w:rsidRPr="00834B94">
                    <w:rPr>
                      <w:sz w:val="22"/>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3056E9" w:rsidRPr="003056E9" w:rsidRDefault="003056E9" w:rsidP="003056E9">
            <w:pPr>
              <w:rPr>
                <w:sz w:val="22"/>
                <w:szCs w:val="22"/>
              </w:rPr>
            </w:pPr>
          </w:p>
        </w:tc>
        <w:tc>
          <w:tcPr>
            <w:tcW w:w="0" w:type="auto"/>
            <w:tcBorders>
              <w:top w:val="single" w:sz="4" w:space="0" w:color="auto"/>
              <w:left w:val="single" w:sz="4" w:space="0" w:color="auto"/>
              <w:bottom w:val="single" w:sz="4" w:space="0" w:color="auto"/>
              <w:right w:val="single" w:sz="4" w:space="0" w:color="auto"/>
            </w:tcBorders>
          </w:tcPr>
          <w:p w:rsidR="003056E9" w:rsidRPr="00834B94" w:rsidRDefault="003056E9" w:rsidP="003056E9">
            <w:pPr>
              <w:rPr>
                <w:sz w:val="22"/>
                <w:szCs w:val="22"/>
              </w:rPr>
            </w:pPr>
            <w:r w:rsidRPr="00D446BA">
              <w:rPr>
                <w:sz w:val="22"/>
                <w:szCs w:val="22"/>
              </w:rPr>
              <w:t>The effects on the net pension liability of changes in individual assumptions can be measured. For instance, a 0.5% increase in the discount rate assumption would reduce the value of the liabilities by approximately £624 million.  A 0.25% increase in assumed earnings inflation would increase the value of the liabilities by approximately £86m and a 1 year increase in assumed life expectancy would increase the liabilities by approximately £146m.</w:t>
            </w:r>
          </w:p>
        </w:tc>
      </w:tr>
    </w:tbl>
    <w:p w:rsidR="001428E6" w:rsidRDefault="001428E6" w:rsidP="00F332F8">
      <w:pPr>
        <w:spacing w:after="240"/>
        <w:ind w:left="720"/>
        <w:jc w:val="both"/>
        <w:rPr>
          <w:szCs w:val="22"/>
        </w:rPr>
      </w:pPr>
    </w:p>
    <w:p w:rsidR="003056E9" w:rsidRPr="001517EF" w:rsidRDefault="003056E9" w:rsidP="003056E9">
      <w:pPr>
        <w:numPr>
          <w:ilvl w:val="0"/>
          <w:numId w:val="2"/>
        </w:numPr>
        <w:tabs>
          <w:tab w:val="clear" w:pos="720"/>
          <w:tab w:val="num" w:pos="862"/>
        </w:tabs>
        <w:ind w:left="862"/>
        <w:rPr>
          <w:b/>
          <w:szCs w:val="24"/>
        </w:rPr>
      </w:pPr>
      <w:r w:rsidRPr="001517EF">
        <w:rPr>
          <w:b/>
          <w:szCs w:val="24"/>
        </w:rPr>
        <w:t>Contributions receivable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3056E9" w:rsidTr="003056E9">
        <w:tc>
          <w:tcPr>
            <w:tcW w:w="5058" w:type="dxa"/>
          </w:tcPr>
          <w:p w:rsidR="003056E9" w:rsidRDefault="003056E9" w:rsidP="003056E9">
            <w:pPr>
              <w:rPr>
                <w:b/>
                <w:szCs w:val="24"/>
              </w:rPr>
            </w:pPr>
          </w:p>
        </w:tc>
        <w:tc>
          <w:tcPr>
            <w:tcW w:w="1559" w:type="dxa"/>
          </w:tcPr>
          <w:p w:rsidR="003056E9" w:rsidRDefault="003056E9" w:rsidP="003056E9">
            <w:pPr>
              <w:jc w:val="right"/>
              <w:rPr>
                <w:b/>
                <w:szCs w:val="24"/>
              </w:rPr>
            </w:pPr>
            <w:r>
              <w:rPr>
                <w:b/>
                <w:szCs w:val="24"/>
              </w:rPr>
              <w:t>2012/13</w:t>
            </w:r>
          </w:p>
          <w:p w:rsidR="003056E9" w:rsidRDefault="003056E9" w:rsidP="003056E9">
            <w:pPr>
              <w:jc w:val="right"/>
              <w:rPr>
                <w:b/>
                <w:szCs w:val="24"/>
              </w:rPr>
            </w:pPr>
            <w:r>
              <w:rPr>
                <w:b/>
                <w:szCs w:val="24"/>
              </w:rPr>
              <w:t>£m</w:t>
            </w:r>
          </w:p>
        </w:tc>
        <w:tc>
          <w:tcPr>
            <w:tcW w:w="430" w:type="dxa"/>
            <w:tcBorders>
              <w:right w:val="single" w:sz="4" w:space="0" w:color="FFFFFF" w:themeColor="background1"/>
            </w:tcBorders>
          </w:tcPr>
          <w:p w:rsidR="003056E9" w:rsidRDefault="003056E9" w:rsidP="003056E9">
            <w:pPr>
              <w:jc w:val="right"/>
              <w:rPr>
                <w:b/>
                <w:szCs w:val="24"/>
              </w:rPr>
            </w:pPr>
          </w:p>
          <w:p w:rsidR="003056E9" w:rsidRDefault="003056E9" w:rsidP="003056E9">
            <w:pPr>
              <w:jc w:val="right"/>
              <w:rPr>
                <w:b/>
                <w:szCs w:val="24"/>
              </w:rPr>
            </w:pPr>
          </w:p>
        </w:tc>
        <w:tc>
          <w:tcPr>
            <w:tcW w:w="1696" w:type="dxa"/>
            <w:tcBorders>
              <w:left w:val="single" w:sz="4" w:space="0" w:color="FFFFFF" w:themeColor="background1"/>
            </w:tcBorders>
          </w:tcPr>
          <w:p w:rsidR="003056E9" w:rsidRDefault="003056E9" w:rsidP="003056E9">
            <w:pPr>
              <w:jc w:val="right"/>
              <w:rPr>
                <w:b/>
                <w:szCs w:val="24"/>
              </w:rPr>
            </w:pPr>
            <w:r>
              <w:rPr>
                <w:b/>
                <w:szCs w:val="24"/>
              </w:rPr>
              <w:t>2011/12</w:t>
            </w:r>
          </w:p>
          <w:p w:rsidR="003056E9" w:rsidRDefault="003056E9" w:rsidP="003056E9">
            <w:pPr>
              <w:jc w:val="right"/>
              <w:rPr>
                <w:b/>
                <w:szCs w:val="24"/>
              </w:rPr>
            </w:pPr>
            <w:r>
              <w:rPr>
                <w:b/>
                <w:szCs w:val="24"/>
              </w:rPr>
              <w:t>£m</w:t>
            </w:r>
          </w:p>
          <w:p w:rsidR="003056E9" w:rsidRDefault="003056E9" w:rsidP="003056E9">
            <w:pPr>
              <w:jc w:val="right"/>
              <w:rPr>
                <w:b/>
                <w:szCs w:val="24"/>
              </w:rPr>
            </w:pPr>
          </w:p>
        </w:tc>
      </w:tr>
      <w:tr w:rsidR="003056E9" w:rsidTr="003056E9">
        <w:tc>
          <w:tcPr>
            <w:tcW w:w="5058" w:type="dxa"/>
          </w:tcPr>
          <w:p w:rsidR="003056E9" w:rsidRDefault="003056E9" w:rsidP="003056E9">
            <w:pPr>
              <w:rPr>
                <w:b/>
                <w:szCs w:val="24"/>
              </w:rPr>
            </w:pPr>
            <w:r>
              <w:rPr>
                <w:b/>
                <w:szCs w:val="24"/>
              </w:rPr>
              <w:t>Employers' contributions</w:t>
            </w:r>
          </w:p>
        </w:tc>
        <w:tc>
          <w:tcPr>
            <w:tcW w:w="1559" w:type="dxa"/>
          </w:tcPr>
          <w:p w:rsidR="003056E9" w:rsidRPr="009643EB" w:rsidRDefault="003056E9" w:rsidP="003056E9">
            <w:pPr>
              <w:jc w:val="right"/>
              <w:rPr>
                <w:szCs w:val="24"/>
              </w:rPr>
            </w:pPr>
          </w:p>
        </w:tc>
        <w:tc>
          <w:tcPr>
            <w:tcW w:w="430" w:type="dxa"/>
            <w:tcBorders>
              <w:right w:val="single" w:sz="4" w:space="0" w:color="FFFFFF" w:themeColor="background1"/>
            </w:tcBorders>
          </w:tcPr>
          <w:p w:rsidR="003056E9" w:rsidRPr="009643EB" w:rsidRDefault="003056E9" w:rsidP="003056E9">
            <w:pPr>
              <w:jc w:val="right"/>
              <w:rPr>
                <w:szCs w:val="24"/>
              </w:rPr>
            </w:pPr>
          </w:p>
        </w:tc>
        <w:tc>
          <w:tcPr>
            <w:tcW w:w="1696" w:type="dxa"/>
            <w:tcBorders>
              <w:left w:val="single" w:sz="4" w:space="0" w:color="FFFFFF" w:themeColor="background1"/>
            </w:tcBorders>
          </w:tcPr>
          <w:p w:rsidR="003056E9" w:rsidRPr="009643EB" w:rsidRDefault="003056E9" w:rsidP="003056E9">
            <w:pPr>
              <w:jc w:val="right"/>
              <w:rPr>
                <w:szCs w:val="24"/>
              </w:rPr>
            </w:pPr>
          </w:p>
        </w:tc>
      </w:tr>
      <w:tr w:rsidR="003056E9" w:rsidTr="003056E9">
        <w:tc>
          <w:tcPr>
            <w:tcW w:w="5058" w:type="dxa"/>
          </w:tcPr>
          <w:p w:rsidR="003056E9" w:rsidRPr="009643EB" w:rsidRDefault="003056E9" w:rsidP="003056E9">
            <w:pPr>
              <w:rPr>
                <w:szCs w:val="24"/>
              </w:rPr>
            </w:pPr>
            <w:r>
              <w:rPr>
                <w:szCs w:val="24"/>
              </w:rPr>
              <w:t>County Council</w:t>
            </w:r>
          </w:p>
        </w:tc>
        <w:tc>
          <w:tcPr>
            <w:tcW w:w="1559" w:type="dxa"/>
          </w:tcPr>
          <w:p w:rsidR="003056E9" w:rsidRPr="009643EB" w:rsidRDefault="003056E9" w:rsidP="003056E9">
            <w:pPr>
              <w:jc w:val="right"/>
              <w:rPr>
                <w:szCs w:val="24"/>
              </w:rPr>
            </w:pPr>
            <w:r>
              <w:rPr>
                <w:szCs w:val="24"/>
              </w:rPr>
              <w:t>63.4</w:t>
            </w:r>
          </w:p>
        </w:tc>
        <w:tc>
          <w:tcPr>
            <w:tcW w:w="430" w:type="dxa"/>
            <w:tcBorders>
              <w:right w:val="single" w:sz="4" w:space="0" w:color="FFFFFF" w:themeColor="background1"/>
            </w:tcBorders>
          </w:tcPr>
          <w:p w:rsidR="003056E9" w:rsidRPr="009643EB" w:rsidRDefault="003056E9" w:rsidP="003056E9">
            <w:pPr>
              <w:jc w:val="right"/>
              <w:rPr>
                <w:szCs w:val="24"/>
              </w:rPr>
            </w:pPr>
          </w:p>
        </w:tc>
        <w:tc>
          <w:tcPr>
            <w:tcW w:w="1696" w:type="dxa"/>
            <w:tcBorders>
              <w:left w:val="single" w:sz="4" w:space="0" w:color="FFFFFF" w:themeColor="background1"/>
            </w:tcBorders>
          </w:tcPr>
          <w:p w:rsidR="003056E9" w:rsidRPr="009643EB" w:rsidRDefault="003056E9" w:rsidP="003056E9">
            <w:pPr>
              <w:jc w:val="right"/>
              <w:rPr>
                <w:szCs w:val="24"/>
              </w:rPr>
            </w:pPr>
            <w:r>
              <w:rPr>
                <w:szCs w:val="24"/>
              </w:rPr>
              <w:t>68.5</w:t>
            </w:r>
          </w:p>
        </w:tc>
      </w:tr>
      <w:tr w:rsidR="003056E9" w:rsidTr="003056E9">
        <w:tc>
          <w:tcPr>
            <w:tcW w:w="5058" w:type="dxa"/>
          </w:tcPr>
          <w:p w:rsidR="003056E9" w:rsidRDefault="003056E9" w:rsidP="003056E9">
            <w:pPr>
              <w:rPr>
                <w:szCs w:val="24"/>
              </w:rPr>
            </w:pPr>
            <w:r>
              <w:rPr>
                <w:szCs w:val="24"/>
              </w:rPr>
              <w:t>Scheduled Bodies</w:t>
            </w:r>
          </w:p>
        </w:tc>
        <w:tc>
          <w:tcPr>
            <w:tcW w:w="1559" w:type="dxa"/>
          </w:tcPr>
          <w:p w:rsidR="003056E9" w:rsidRPr="009643EB" w:rsidRDefault="003056E9" w:rsidP="003056E9">
            <w:pPr>
              <w:jc w:val="right"/>
              <w:rPr>
                <w:szCs w:val="24"/>
              </w:rPr>
            </w:pPr>
            <w:r>
              <w:rPr>
                <w:szCs w:val="24"/>
              </w:rPr>
              <w:t>74.7</w:t>
            </w:r>
          </w:p>
        </w:tc>
        <w:tc>
          <w:tcPr>
            <w:tcW w:w="430" w:type="dxa"/>
            <w:tcBorders>
              <w:right w:val="single" w:sz="4" w:space="0" w:color="FFFFFF" w:themeColor="background1"/>
            </w:tcBorders>
          </w:tcPr>
          <w:p w:rsidR="003056E9" w:rsidRPr="009643EB" w:rsidRDefault="003056E9" w:rsidP="003056E9">
            <w:pPr>
              <w:jc w:val="right"/>
              <w:rPr>
                <w:szCs w:val="24"/>
              </w:rPr>
            </w:pPr>
          </w:p>
        </w:tc>
        <w:tc>
          <w:tcPr>
            <w:tcW w:w="1696" w:type="dxa"/>
            <w:tcBorders>
              <w:left w:val="single" w:sz="4" w:space="0" w:color="FFFFFF" w:themeColor="background1"/>
            </w:tcBorders>
          </w:tcPr>
          <w:p w:rsidR="003056E9" w:rsidRPr="009643EB" w:rsidRDefault="003056E9" w:rsidP="003056E9">
            <w:pPr>
              <w:jc w:val="right"/>
              <w:rPr>
                <w:szCs w:val="24"/>
              </w:rPr>
            </w:pPr>
            <w:r>
              <w:rPr>
                <w:szCs w:val="24"/>
              </w:rPr>
              <w:t>75.7</w:t>
            </w:r>
          </w:p>
        </w:tc>
      </w:tr>
      <w:tr w:rsidR="003056E9" w:rsidTr="003056E9">
        <w:tc>
          <w:tcPr>
            <w:tcW w:w="5058" w:type="dxa"/>
          </w:tcPr>
          <w:p w:rsidR="003056E9" w:rsidRDefault="003056E9" w:rsidP="003056E9">
            <w:pPr>
              <w:rPr>
                <w:szCs w:val="24"/>
              </w:rPr>
            </w:pPr>
            <w:r>
              <w:rPr>
                <w:szCs w:val="24"/>
              </w:rPr>
              <w:t>Admitted</w:t>
            </w:r>
          </w:p>
        </w:tc>
        <w:tc>
          <w:tcPr>
            <w:tcW w:w="1559" w:type="dxa"/>
            <w:tcBorders>
              <w:bottom w:val="single" w:sz="18" w:space="0" w:color="auto"/>
            </w:tcBorders>
          </w:tcPr>
          <w:p w:rsidR="003056E9" w:rsidRPr="009643EB" w:rsidRDefault="003056E9" w:rsidP="003056E9">
            <w:pPr>
              <w:jc w:val="right"/>
              <w:rPr>
                <w:szCs w:val="24"/>
              </w:rPr>
            </w:pPr>
            <w:r>
              <w:rPr>
                <w:szCs w:val="24"/>
              </w:rPr>
              <w:t>12.9</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left w:val="single" w:sz="4" w:space="0" w:color="FFFFFF" w:themeColor="background1"/>
              <w:bottom w:val="single" w:sz="18" w:space="0" w:color="auto"/>
            </w:tcBorders>
          </w:tcPr>
          <w:p w:rsidR="003056E9" w:rsidRDefault="003056E9" w:rsidP="003056E9">
            <w:pPr>
              <w:jc w:val="right"/>
              <w:rPr>
                <w:szCs w:val="24"/>
              </w:rPr>
            </w:pPr>
            <w:r>
              <w:rPr>
                <w:szCs w:val="24"/>
              </w:rPr>
              <w:t>12.9</w:t>
            </w:r>
          </w:p>
        </w:tc>
      </w:tr>
      <w:tr w:rsidR="003056E9" w:rsidTr="003056E9">
        <w:tc>
          <w:tcPr>
            <w:tcW w:w="5058" w:type="dxa"/>
          </w:tcPr>
          <w:p w:rsidR="003056E9" w:rsidRDefault="003056E9" w:rsidP="003056E9">
            <w:pPr>
              <w:rPr>
                <w:szCs w:val="24"/>
              </w:rPr>
            </w:pPr>
          </w:p>
        </w:tc>
        <w:tc>
          <w:tcPr>
            <w:tcW w:w="1559" w:type="dxa"/>
            <w:tcBorders>
              <w:top w:val="single" w:sz="18" w:space="0" w:color="auto"/>
            </w:tcBorders>
          </w:tcPr>
          <w:p w:rsidR="003056E9" w:rsidRPr="009643EB" w:rsidRDefault="003056E9" w:rsidP="003056E9">
            <w:pPr>
              <w:jc w:val="right"/>
              <w:rPr>
                <w:szCs w:val="24"/>
              </w:rPr>
            </w:pPr>
            <w:r>
              <w:rPr>
                <w:szCs w:val="24"/>
              </w:rPr>
              <w:t>151.0</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top w:val="single" w:sz="18" w:space="0" w:color="auto"/>
              <w:left w:val="single" w:sz="4" w:space="0" w:color="FFFFFF" w:themeColor="background1"/>
            </w:tcBorders>
          </w:tcPr>
          <w:p w:rsidR="003056E9" w:rsidRDefault="003056E9" w:rsidP="003056E9">
            <w:pPr>
              <w:jc w:val="right"/>
              <w:rPr>
                <w:szCs w:val="24"/>
              </w:rPr>
            </w:pPr>
            <w:r>
              <w:rPr>
                <w:szCs w:val="24"/>
              </w:rPr>
              <w:t>157.1</w:t>
            </w:r>
          </w:p>
        </w:tc>
      </w:tr>
      <w:tr w:rsidR="00735C99" w:rsidTr="003056E9">
        <w:tc>
          <w:tcPr>
            <w:tcW w:w="5058" w:type="dxa"/>
          </w:tcPr>
          <w:p w:rsidR="00735C99" w:rsidRDefault="00735C99" w:rsidP="003056E9">
            <w:pPr>
              <w:rPr>
                <w:szCs w:val="24"/>
              </w:rPr>
            </w:pPr>
          </w:p>
          <w:p w:rsidR="00735C99" w:rsidRDefault="00735C99" w:rsidP="003056E9">
            <w:pPr>
              <w:rPr>
                <w:szCs w:val="24"/>
              </w:rPr>
            </w:pPr>
          </w:p>
          <w:p w:rsidR="00735C99" w:rsidRDefault="00735C99" w:rsidP="003056E9">
            <w:pPr>
              <w:rPr>
                <w:szCs w:val="24"/>
              </w:rPr>
            </w:pPr>
          </w:p>
        </w:tc>
        <w:tc>
          <w:tcPr>
            <w:tcW w:w="1559" w:type="dxa"/>
            <w:tcBorders>
              <w:top w:val="single" w:sz="18" w:space="0" w:color="auto"/>
            </w:tcBorders>
          </w:tcPr>
          <w:p w:rsidR="00735C99" w:rsidRDefault="00735C99" w:rsidP="003056E9">
            <w:pPr>
              <w:jc w:val="right"/>
              <w:rPr>
                <w:szCs w:val="24"/>
              </w:rPr>
            </w:pPr>
          </w:p>
        </w:tc>
        <w:tc>
          <w:tcPr>
            <w:tcW w:w="430" w:type="dxa"/>
            <w:tcBorders>
              <w:right w:val="single" w:sz="4" w:space="0" w:color="FFFFFF" w:themeColor="background1"/>
            </w:tcBorders>
          </w:tcPr>
          <w:p w:rsidR="00735C99" w:rsidRDefault="00735C99" w:rsidP="003056E9">
            <w:pPr>
              <w:jc w:val="right"/>
              <w:rPr>
                <w:szCs w:val="24"/>
              </w:rPr>
            </w:pPr>
          </w:p>
        </w:tc>
        <w:tc>
          <w:tcPr>
            <w:tcW w:w="1696" w:type="dxa"/>
            <w:tcBorders>
              <w:top w:val="single" w:sz="18" w:space="0" w:color="auto"/>
              <w:left w:val="single" w:sz="4" w:space="0" w:color="FFFFFF" w:themeColor="background1"/>
            </w:tcBorders>
          </w:tcPr>
          <w:p w:rsidR="00735C99" w:rsidRDefault="00735C99" w:rsidP="003056E9">
            <w:pPr>
              <w:jc w:val="right"/>
              <w:rPr>
                <w:szCs w:val="24"/>
              </w:rPr>
            </w:pPr>
          </w:p>
        </w:tc>
      </w:tr>
      <w:tr w:rsidR="003056E9" w:rsidTr="003056E9">
        <w:tc>
          <w:tcPr>
            <w:tcW w:w="5058" w:type="dxa"/>
          </w:tcPr>
          <w:p w:rsidR="003056E9" w:rsidRDefault="003056E9" w:rsidP="003056E9">
            <w:pPr>
              <w:rPr>
                <w:szCs w:val="24"/>
              </w:rPr>
            </w:pPr>
          </w:p>
          <w:p w:rsidR="003056E9" w:rsidRPr="00CB2E58" w:rsidRDefault="003056E9" w:rsidP="003056E9">
            <w:pPr>
              <w:rPr>
                <w:b/>
                <w:szCs w:val="24"/>
              </w:rPr>
            </w:pPr>
            <w:r w:rsidRPr="00CB2E58">
              <w:rPr>
                <w:b/>
                <w:szCs w:val="24"/>
              </w:rPr>
              <w:lastRenderedPageBreak/>
              <w:t>Employees' contributions</w:t>
            </w:r>
          </w:p>
        </w:tc>
        <w:tc>
          <w:tcPr>
            <w:tcW w:w="1559" w:type="dxa"/>
          </w:tcPr>
          <w:p w:rsidR="003056E9" w:rsidRDefault="003056E9" w:rsidP="003056E9">
            <w:pPr>
              <w:jc w:val="right"/>
              <w:rPr>
                <w:szCs w:val="24"/>
              </w:rPr>
            </w:pPr>
          </w:p>
        </w:tc>
        <w:tc>
          <w:tcPr>
            <w:tcW w:w="430" w:type="dxa"/>
          </w:tcPr>
          <w:p w:rsidR="003056E9" w:rsidRDefault="003056E9" w:rsidP="003056E9">
            <w:pPr>
              <w:jc w:val="right"/>
              <w:rPr>
                <w:szCs w:val="24"/>
              </w:rPr>
            </w:pPr>
          </w:p>
        </w:tc>
        <w:tc>
          <w:tcPr>
            <w:tcW w:w="1696" w:type="dxa"/>
          </w:tcPr>
          <w:p w:rsidR="003056E9" w:rsidRDefault="003056E9" w:rsidP="003056E9">
            <w:pPr>
              <w:jc w:val="right"/>
              <w:rPr>
                <w:szCs w:val="24"/>
              </w:rPr>
            </w:pPr>
          </w:p>
        </w:tc>
      </w:tr>
      <w:tr w:rsidR="003056E9" w:rsidTr="003056E9">
        <w:tc>
          <w:tcPr>
            <w:tcW w:w="5058" w:type="dxa"/>
          </w:tcPr>
          <w:p w:rsidR="003056E9" w:rsidRDefault="006F1694" w:rsidP="003056E9">
            <w:pPr>
              <w:rPr>
                <w:szCs w:val="24"/>
              </w:rPr>
            </w:pPr>
            <w:r>
              <w:rPr>
                <w:szCs w:val="24"/>
              </w:rPr>
              <w:lastRenderedPageBreak/>
              <w:t>C</w:t>
            </w:r>
            <w:r w:rsidR="003056E9">
              <w:rPr>
                <w:szCs w:val="24"/>
              </w:rPr>
              <w:t>ounty Council</w:t>
            </w:r>
          </w:p>
        </w:tc>
        <w:tc>
          <w:tcPr>
            <w:tcW w:w="1559" w:type="dxa"/>
          </w:tcPr>
          <w:p w:rsidR="003056E9" w:rsidRDefault="003056E9" w:rsidP="003056E9">
            <w:pPr>
              <w:jc w:val="right"/>
              <w:rPr>
                <w:szCs w:val="24"/>
              </w:rPr>
            </w:pPr>
            <w:r>
              <w:rPr>
                <w:szCs w:val="24"/>
              </w:rPr>
              <w:t>20.6</w:t>
            </w:r>
          </w:p>
        </w:tc>
        <w:tc>
          <w:tcPr>
            <w:tcW w:w="430" w:type="dxa"/>
          </w:tcPr>
          <w:p w:rsidR="003056E9" w:rsidRDefault="003056E9" w:rsidP="003056E9">
            <w:pPr>
              <w:jc w:val="right"/>
              <w:rPr>
                <w:szCs w:val="24"/>
              </w:rPr>
            </w:pPr>
          </w:p>
        </w:tc>
        <w:tc>
          <w:tcPr>
            <w:tcW w:w="1696" w:type="dxa"/>
          </w:tcPr>
          <w:p w:rsidR="003056E9" w:rsidRDefault="003056E9" w:rsidP="003056E9">
            <w:pPr>
              <w:jc w:val="right"/>
              <w:rPr>
                <w:szCs w:val="24"/>
              </w:rPr>
            </w:pPr>
            <w:r>
              <w:rPr>
                <w:szCs w:val="24"/>
              </w:rPr>
              <w:t>20.5</w:t>
            </w:r>
          </w:p>
        </w:tc>
      </w:tr>
      <w:tr w:rsidR="003056E9" w:rsidTr="003056E9">
        <w:tc>
          <w:tcPr>
            <w:tcW w:w="5058" w:type="dxa"/>
          </w:tcPr>
          <w:p w:rsidR="003056E9" w:rsidRDefault="003056E9" w:rsidP="003056E9">
            <w:pPr>
              <w:rPr>
                <w:szCs w:val="24"/>
              </w:rPr>
            </w:pPr>
            <w:r>
              <w:rPr>
                <w:szCs w:val="24"/>
              </w:rPr>
              <w:t>Scheduled Bodies</w:t>
            </w:r>
          </w:p>
        </w:tc>
        <w:tc>
          <w:tcPr>
            <w:tcW w:w="1559" w:type="dxa"/>
          </w:tcPr>
          <w:p w:rsidR="003056E9" w:rsidRDefault="003056E9" w:rsidP="003056E9">
            <w:pPr>
              <w:jc w:val="right"/>
              <w:rPr>
                <w:szCs w:val="24"/>
              </w:rPr>
            </w:pPr>
            <w:r>
              <w:rPr>
                <w:szCs w:val="24"/>
              </w:rPr>
              <w:t>26.3</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left w:val="single" w:sz="4" w:space="0" w:color="FFFFFF" w:themeColor="background1"/>
            </w:tcBorders>
          </w:tcPr>
          <w:p w:rsidR="003056E9" w:rsidRDefault="003056E9" w:rsidP="003056E9">
            <w:pPr>
              <w:jc w:val="right"/>
              <w:rPr>
                <w:szCs w:val="24"/>
              </w:rPr>
            </w:pPr>
            <w:r>
              <w:rPr>
                <w:szCs w:val="24"/>
              </w:rPr>
              <w:t>26.8</w:t>
            </w:r>
          </w:p>
        </w:tc>
      </w:tr>
      <w:tr w:rsidR="003056E9" w:rsidTr="003056E9">
        <w:tc>
          <w:tcPr>
            <w:tcW w:w="5058" w:type="dxa"/>
          </w:tcPr>
          <w:p w:rsidR="003056E9" w:rsidRDefault="003056E9" w:rsidP="003056E9">
            <w:pPr>
              <w:rPr>
                <w:szCs w:val="24"/>
              </w:rPr>
            </w:pPr>
            <w:r>
              <w:rPr>
                <w:szCs w:val="24"/>
              </w:rPr>
              <w:t>Admitted</w:t>
            </w:r>
          </w:p>
        </w:tc>
        <w:tc>
          <w:tcPr>
            <w:tcW w:w="1559" w:type="dxa"/>
            <w:tcBorders>
              <w:bottom w:val="single" w:sz="18" w:space="0" w:color="auto"/>
            </w:tcBorders>
          </w:tcPr>
          <w:p w:rsidR="003056E9" w:rsidRDefault="003056E9" w:rsidP="003056E9">
            <w:pPr>
              <w:jc w:val="right"/>
              <w:rPr>
                <w:szCs w:val="24"/>
              </w:rPr>
            </w:pPr>
            <w:r>
              <w:rPr>
                <w:szCs w:val="24"/>
              </w:rPr>
              <w:t>4.8</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left w:val="single" w:sz="4" w:space="0" w:color="FFFFFF" w:themeColor="background1"/>
              <w:bottom w:val="single" w:sz="18" w:space="0" w:color="auto"/>
            </w:tcBorders>
          </w:tcPr>
          <w:p w:rsidR="003056E9" w:rsidRDefault="003056E9" w:rsidP="003056E9">
            <w:pPr>
              <w:jc w:val="right"/>
              <w:rPr>
                <w:szCs w:val="24"/>
              </w:rPr>
            </w:pPr>
            <w:r>
              <w:rPr>
                <w:szCs w:val="24"/>
              </w:rPr>
              <w:t>4.9</w:t>
            </w:r>
          </w:p>
        </w:tc>
      </w:tr>
      <w:tr w:rsidR="003056E9" w:rsidTr="00735C99">
        <w:tc>
          <w:tcPr>
            <w:tcW w:w="5058" w:type="dxa"/>
          </w:tcPr>
          <w:p w:rsidR="003056E9" w:rsidRDefault="003056E9" w:rsidP="003056E9">
            <w:pPr>
              <w:rPr>
                <w:szCs w:val="24"/>
              </w:rPr>
            </w:pPr>
          </w:p>
        </w:tc>
        <w:tc>
          <w:tcPr>
            <w:tcW w:w="1559" w:type="dxa"/>
            <w:tcBorders>
              <w:top w:val="single" w:sz="18" w:space="0" w:color="auto"/>
              <w:bottom w:val="single" w:sz="18" w:space="0" w:color="auto"/>
            </w:tcBorders>
          </w:tcPr>
          <w:p w:rsidR="003056E9" w:rsidRDefault="003056E9" w:rsidP="003056E9">
            <w:pPr>
              <w:jc w:val="right"/>
              <w:rPr>
                <w:szCs w:val="24"/>
              </w:rPr>
            </w:pPr>
            <w:r>
              <w:rPr>
                <w:szCs w:val="24"/>
              </w:rPr>
              <w:t>51.7</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top w:val="single" w:sz="18" w:space="0" w:color="auto"/>
              <w:left w:val="single" w:sz="4" w:space="0" w:color="FFFFFF" w:themeColor="background1"/>
              <w:bottom w:val="single" w:sz="18" w:space="0" w:color="auto"/>
            </w:tcBorders>
          </w:tcPr>
          <w:p w:rsidR="003056E9" w:rsidRDefault="003056E9" w:rsidP="003056E9">
            <w:pPr>
              <w:jc w:val="right"/>
              <w:rPr>
                <w:szCs w:val="24"/>
              </w:rPr>
            </w:pPr>
            <w:r>
              <w:rPr>
                <w:szCs w:val="24"/>
              </w:rPr>
              <w:t>52.2</w:t>
            </w:r>
          </w:p>
        </w:tc>
      </w:tr>
      <w:tr w:rsidR="003056E9" w:rsidTr="004B380D">
        <w:tc>
          <w:tcPr>
            <w:tcW w:w="5058" w:type="dxa"/>
          </w:tcPr>
          <w:p w:rsidR="003056E9" w:rsidRDefault="003056E9" w:rsidP="003056E9">
            <w:pPr>
              <w:rPr>
                <w:szCs w:val="24"/>
              </w:rPr>
            </w:pPr>
            <w:r>
              <w:rPr>
                <w:szCs w:val="24"/>
              </w:rPr>
              <w:t>Total contributions</w:t>
            </w:r>
          </w:p>
        </w:tc>
        <w:tc>
          <w:tcPr>
            <w:tcW w:w="1559" w:type="dxa"/>
            <w:tcBorders>
              <w:top w:val="single" w:sz="18" w:space="0" w:color="auto"/>
              <w:bottom w:val="single" w:sz="18" w:space="0" w:color="auto"/>
            </w:tcBorders>
          </w:tcPr>
          <w:p w:rsidR="003056E9" w:rsidRDefault="003056E9" w:rsidP="003056E9">
            <w:pPr>
              <w:jc w:val="right"/>
              <w:rPr>
                <w:szCs w:val="24"/>
              </w:rPr>
            </w:pPr>
            <w:r>
              <w:rPr>
                <w:szCs w:val="24"/>
              </w:rPr>
              <w:t>202.7</w:t>
            </w:r>
          </w:p>
        </w:tc>
        <w:tc>
          <w:tcPr>
            <w:tcW w:w="430" w:type="dxa"/>
            <w:tcBorders>
              <w:right w:val="single" w:sz="4" w:space="0" w:color="FFFFFF" w:themeColor="background1"/>
            </w:tcBorders>
          </w:tcPr>
          <w:p w:rsidR="003056E9" w:rsidRDefault="003056E9" w:rsidP="003056E9">
            <w:pPr>
              <w:jc w:val="right"/>
              <w:rPr>
                <w:szCs w:val="24"/>
              </w:rPr>
            </w:pPr>
          </w:p>
        </w:tc>
        <w:tc>
          <w:tcPr>
            <w:tcW w:w="1696" w:type="dxa"/>
            <w:tcBorders>
              <w:top w:val="single" w:sz="18" w:space="0" w:color="auto"/>
              <w:left w:val="single" w:sz="4" w:space="0" w:color="FFFFFF" w:themeColor="background1"/>
              <w:bottom w:val="single" w:sz="18" w:space="0" w:color="auto"/>
            </w:tcBorders>
          </w:tcPr>
          <w:p w:rsidR="003056E9" w:rsidRDefault="003056E9" w:rsidP="003056E9">
            <w:pPr>
              <w:jc w:val="right"/>
              <w:rPr>
                <w:szCs w:val="24"/>
              </w:rPr>
            </w:pPr>
            <w:r>
              <w:rPr>
                <w:szCs w:val="24"/>
              </w:rPr>
              <w:t>209.3</w:t>
            </w:r>
          </w:p>
        </w:tc>
      </w:tr>
      <w:tr w:rsidR="001428E6" w:rsidTr="004B380D">
        <w:tc>
          <w:tcPr>
            <w:tcW w:w="5058" w:type="dxa"/>
          </w:tcPr>
          <w:p w:rsidR="001428E6" w:rsidRDefault="001428E6" w:rsidP="003056E9">
            <w:pPr>
              <w:rPr>
                <w:szCs w:val="24"/>
              </w:rPr>
            </w:pPr>
          </w:p>
        </w:tc>
        <w:tc>
          <w:tcPr>
            <w:tcW w:w="1559" w:type="dxa"/>
            <w:tcBorders>
              <w:top w:val="single" w:sz="18" w:space="0" w:color="auto"/>
            </w:tcBorders>
          </w:tcPr>
          <w:p w:rsidR="001428E6" w:rsidRDefault="001428E6" w:rsidP="003056E9">
            <w:pPr>
              <w:jc w:val="right"/>
              <w:rPr>
                <w:szCs w:val="24"/>
              </w:rPr>
            </w:pPr>
          </w:p>
        </w:tc>
        <w:tc>
          <w:tcPr>
            <w:tcW w:w="430" w:type="dxa"/>
          </w:tcPr>
          <w:p w:rsidR="001428E6" w:rsidRDefault="001428E6" w:rsidP="003056E9">
            <w:pPr>
              <w:jc w:val="right"/>
              <w:rPr>
                <w:szCs w:val="24"/>
              </w:rPr>
            </w:pPr>
          </w:p>
        </w:tc>
        <w:tc>
          <w:tcPr>
            <w:tcW w:w="1696" w:type="dxa"/>
            <w:tcBorders>
              <w:top w:val="single" w:sz="18" w:space="0" w:color="auto"/>
            </w:tcBorders>
          </w:tcPr>
          <w:p w:rsidR="001428E6" w:rsidRDefault="001428E6" w:rsidP="003056E9">
            <w:pPr>
              <w:jc w:val="right"/>
              <w:rPr>
                <w:szCs w:val="24"/>
              </w:rPr>
            </w:pPr>
          </w:p>
        </w:tc>
      </w:tr>
    </w:tbl>
    <w:p w:rsidR="003056E9" w:rsidRDefault="003056E9" w:rsidP="003056E9">
      <w:pPr>
        <w:rPr>
          <w:b/>
          <w:szCs w:val="24"/>
        </w:rPr>
      </w:pPr>
    </w:p>
    <w:p w:rsidR="003056E9" w:rsidRDefault="003056E9" w:rsidP="003056E9">
      <w:pPr>
        <w:ind w:left="720"/>
        <w:rPr>
          <w:b/>
          <w:szCs w:val="24"/>
        </w:rPr>
      </w:pPr>
      <w:r w:rsidRPr="00166665">
        <w:rPr>
          <w:szCs w:val="24"/>
        </w:rPr>
        <w:t>Within the employee contributions figure for 20</w:t>
      </w:r>
      <w:r>
        <w:rPr>
          <w:szCs w:val="24"/>
        </w:rPr>
        <w:t>12</w:t>
      </w:r>
      <w:r w:rsidRPr="00166665">
        <w:rPr>
          <w:szCs w:val="24"/>
        </w:rPr>
        <w:t>/1</w:t>
      </w:r>
      <w:r>
        <w:rPr>
          <w:szCs w:val="24"/>
        </w:rPr>
        <w:t>3</w:t>
      </w:r>
      <w:r w:rsidRPr="00166665">
        <w:rPr>
          <w:szCs w:val="24"/>
        </w:rPr>
        <w:t xml:space="preserve">, </w:t>
      </w:r>
      <w:r w:rsidRPr="00CC30FE">
        <w:rPr>
          <w:szCs w:val="24"/>
        </w:rPr>
        <w:t>£</w:t>
      </w:r>
      <w:r>
        <w:rPr>
          <w:szCs w:val="24"/>
        </w:rPr>
        <w:t>0.2m is</w:t>
      </w:r>
      <w:r w:rsidRPr="00166665">
        <w:rPr>
          <w:szCs w:val="24"/>
        </w:rPr>
        <w:t xml:space="preserve"> voluntary and additional regular contributions.  All </w:t>
      </w:r>
      <w:r w:rsidRPr="00DF129C">
        <w:rPr>
          <w:szCs w:val="24"/>
        </w:rPr>
        <w:t>employer</w:t>
      </w:r>
      <w:r w:rsidRPr="00166665">
        <w:rPr>
          <w:szCs w:val="24"/>
        </w:rPr>
        <w:t xml:space="preserve"> contributions are normal contributions.  </w:t>
      </w:r>
    </w:p>
    <w:p w:rsidR="003056E9" w:rsidRDefault="003056E9" w:rsidP="003056E9">
      <w:pPr>
        <w:rPr>
          <w:b/>
          <w:szCs w:val="24"/>
        </w:rPr>
      </w:pPr>
    </w:p>
    <w:p w:rsidR="003056E9" w:rsidRDefault="003056E9" w:rsidP="003056E9">
      <w:pPr>
        <w:rPr>
          <w:b/>
          <w:szCs w:val="24"/>
        </w:rPr>
      </w:pPr>
    </w:p>
    <w:p w:rsidR="003056E9" w:rsidRPr="00661385" w:rsidRDefault="003056E9" w:rsidP="003056E9">
      <w:pPr>
        <w:pStyle w:val="ListParagraph"/>
        <w:numPr>
          <w:ilvl w:val="0"/>
          <w:numId w:val="2"/>
        </w:numPr>
        <w:tabs>
          <w:tab w:val="clear" w:pos="720"/>
          <w:tab w:val="num" w:pos="862"/>
        </w:tabs>
        <w:ind w:left="862"/>
        <w:rPr>
          <w:b/>
        </w:rPr>
      </w:pPr>
      <w:r w:rsidRPr="00661385">
        <w:rPr>
          <w:b/>
        </w:rPr>
        <w:t>Transfers in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3056E9" w:rsidTr="003056E9">
        <w:tc>
          <w:tcPr>
            <w:tcW w:w="5058" w:type="dxa"/>
          </w:tcPr>
          <w:p w:rsidR="003056E9" w:rsidRDefault="003056E9" w:rsidP="003056E9">
            <w:pPr>
              <w:rPr>
                <w:b/>
                <w:szCs w:val="24"/>
              </w:rPr>
            </w:pPr>
          </w:p>
        </w:tc>
        <w:tc>
          <w:tcPr>
            <w:tcW w:w="1559" w:type="dxa"/>
          </w:tcPr>
          <w:p w:rsidR="003056E9" w:rsidRDefault="003056E9" w:rsidP="003056E9">
            <w:pPr>
              <w:jc w:val="right"/>
              <w:rPr>
                <w:b/>
                <w:szCs w:val="24"/>
              </w:rPr>
            </w:pPr>
            <w:r>
              <w:rPr>
                <w:b/>
                <w:szCs w:val="24"/>
              </w:rPr>
              <w:t>2012/13</w:t>
            </w:r>
          </w:p>
          <w:p w:rsidR="003056E9" w:rsidRDefault="003056E9" w:rsidP="003056E9">
            <w:pPr>
              <w:jc w:val="right"/>
              <w:rPr>
                <w:b/>
                <w:szCs w:val="24"/>
              </w:rPr>
            </w:pPr>
            <w:r>
              <w:rPr>
                <w:b/>
                <w:szCs w:val="24"/>
              </w:rPr>
              <w:t>£m</w:t>
            </w:r>
          </w:p>
        </w:tc>
        <w:tc>
          <w:tcPr>
            <w:tcW w:w="430" w:type="dxa"/>
            <w:tcBorders>
              <w:right w:val="single" w:sz="4" w:space="0" w:color="FFFFFF" w:themeColor="background1"/>
            </w:tcBorders>
          </w:tcPr>
          <w:p w:rsidR="003056E9" w:rsidRDefault="003056E9" w:rsidP="003056E9">
            <w:pPr>
              <w:jc w:val="right"/>
              <w:rPr>
                <w:b/>
                <w:szCs w:val="24"/>
              </w:rPr>
            </w:pPr>
          </w:p>
          <w:p w:rsidR="003056E9" w:rsidRDefault="003056E9" w:rsidP="003056E9">
            <w:pPr>
              <w:jc w:val="right"/>
              <w:rPr>
                <w:b/>
                <w:szCs w:val="24"/>
              </w:rPr>
            </w:pPr>
          </w:p>
        </w:tc>
        <w:tc>
          <w:tcPr>
            <w:tcW w:w="1696" w:type="dxa"/>
            <w:tcBorders>
              <w:left w:val="single" w:sz="4" w:space="0" w:color="FFFFFF" w:themeColor="background1"/>
            </w:tcBorders>
          </w:tcPr>
          <w:p w:rsidR="003056E9" w:rsidRDefault="003056E9" w:rsidP="003056E9">
            <w:pPr>
              <w:jc w:val="right"/>
              <w:rPr>
                <w:b/>
                <w:szCs w:val="24"/>
              </w:rPr>
            </w:pPr>
            <w:r>
              <w:rPr>
                <w:b/>
                <w:szCs w:val="24"/>
              </w:rPr>
              <w:t>2011/12</w:t>
            </w:r>
          </w:p>
          <w:p w:rsidR="003056E9" w:rsidRDefault="003056E9" w:rsidP="003056E9">
            <w:pPr>
              <w:jc w:val="right"/>
              <w:rPr>
                <w:b/>
                <w:szCs w:val="24"/>
              </w:rPr>
            </w:pPr>
            <w:r>
              <w:rPr>
                <w:b/>
                <w:szCs w:val="24"/>
              </w:rPr>
              <w:t>£m</w:t>
            </w:r>
          </w:p>
          <w:p w:rsidR="003056E9" w:rsidRDefault="003056E9" w:rsidP="003056E9">
            <w:pPr>
              <w:jc w:val="right"/>
              <w:rPr>
                <w:b/>
                <w:szCs w:val="24"/>
              </w:rPr>
            </w:pPr>
          </w:p>
        </w:tc>
      </w:tr>
      <w:tr w:rsidR="003056E9" w:rsidRPr="007A07AD" w:rsidTr="003056E9">
        <w:tc>
          <w:tcPr>
            <w:tcW w:w="5058" w:type="dxa"/>
          </w:tcPr>
          <w:p w:rsidR="003056E9" w:rsidRPr="007A07AD" w:rsidRDefault="003056E9" w:rsidP="003056E9">
            <w:pPr>
              <w:rPr>
                <w:szCs w:val="24"/>
              </w:rPr>
            </w:pPr>
            <w:r>
              <w:rPr>
                <w:szCs w:val="24"/>
              </w:rPr>
              <w:t>Individual transfers in from other schemes</w:t>
            </w:r>
          </w:p>
        </w:tc>
        <w:tc>
          <w:tcPr>
            <w:tcW w:w="1559" w:type="dxa"/>
          </w:tcPr>
          <w:p w:rsidR="003056E9" w:rsidRPr="007A07AD" w:rsidRDefault="003056E9" w:rsidP="003056E9">
            <w:pPr>
              <w:jc w:val="right"/>
              <w:rPr>
                <w:szCs w:val="24"/>
              </w:rPr>
            </w:pPr>
            <w:r>
              <w:rPr>
                <w:szCs w:val="24"/>
              </w:rPr>
              <w:t>9.9</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left w:val="single" w:sz="4" w:space="0" w:color="FFFFFF" w:themeColor="background1"/>
            </w:tcBorders>
          </w:tcPr>
          <w:p w:rsidR="003056E9" w:rsidRPr="007A07AD" w:rsidRDefault="003056E9" w:rsidP="003056E9">
            <w:pPr>
              <w:jc w:val="right"/>
              <w:rPr>
                <w:szCs w:val="24"/>
              </w:rPr>
            </w:pPr>
            <w:r>
              <w:rPr>
                <w:szCs w:val="24"/>
              </w:rPr>
              <w:t>11.1</w:t>
            </w:r>
          </w:p>
        </w:tc>
      </w:tr>
      <w:tr w:rsidR="003056E9" w:rsidRPr="007A07AD" w:rsidTr="003056E9">
        <w:tc>
          <w:tcPr>
            <w:tcW w:w="5058" w:type="dxa"/>
          </w:tcPr>
          <w:p w:rsidR="003056E9" w:rsidRDefault="003056E9" w:rsidP="003056E9">
            <w:pPr>
              <w:rPr>
                <w:szCs w:val="24"/>
              </w:rPr>
            </w:pPr>
          </w:p>
        </w:tc>
        <w:tc>
          <w:tcPr>
            <w:tcW w:w="1559" w:type="dxa"/>
            <w:tcBorders>
              <w:top w:val="single" w:sz="18" w:space="0" w:color="auto"/>
              <w:bottom w:val="single" w:sz="18" w:space="0" w:color="auto"/>
            </w:tcBorders>
          </w:tcPr>
          <w:p w:rsidR="003056E9" w:rsidRPr="007A07AD" w:rsidRDefault="003056E9" w:rsidP="003056E9">
            <w:pPr>
              <w:jc w:val="right"/>
              <w:rPr>
                <w:szCs w:val="24"/>
              </w:rPr>
            </w:pPr>
            <w:r>
              <w:rPr>
                <w:szCs w:val="24"/>
              </w:rPr>
              <w:t>9.9</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top w:val="single" w:sz="18" w:space="0" w:color="auto"/>
              <w:left w:val="single" w:sz="4" w:space="0" w:color="FFFFFF" w:themeColor="background1"/>
              <w:bottom w:val="single" w:sz="18" w:space="0" w:color="auto"/>
            </w:tcBorders>
          </w:tcPr>
          <w:p w:rsidR="003056E9" w:rsidRDefault="003056E9" w:rsidP="003056E9">
            <w:pPr>
              <w:jc w:val="right"/>
              <w:rPr>
                <w:szCs w:val="24"/>
              </w:rPr>
            </w:pPr>
            <w:r>
              <w:rPr>
                <w:szCs w:val="24"/>
              </w:rPr>
              <w:t>11.1</w:t>
            </w:r>
          </w:p>
        </w:tc>
      </w:tr>
    </w:tbl>
    <w:p w:rsidR="00AB5F81" w:rsidRDefault="00AB5F81" w:rsidP="003056E9">
      <w:pPr>
        <w:pStyle w:val="BodyTextIndent"/>
        <w:tabs>
          <w:tab w:val="clear" w:pos="1080"/>
          <w:tab w:val="left" w:pos="709"/>
        </w:tabs>
        <w:spacing w:after="0"/>
        <w:ind w:left="709"/>
        <w:rPr>
          <w:szCs w:val="24"/>
        </w:rPr>
      </w:pPr>
    </w:p>
    <w:p w:rsidR="003056E9" w:rsidRDefault="003056E9" w:rsidP="003056E9">
      <w:pPr>
        <w:pStyle w:val="Header"/>
        <w:rPr>
          <w:szCs w:val="24"/>
        </w:rPr>
      </w:pPr>
    </w:p>
    <w:p w:rsidR="003056E9" w:rsidRPr="007A07AD" w:rsidRDefault="003056E9" w:rsidP="003056E9">
      <w:pPr>
        <w:numPr>
          <w:ilvl w:val="0"/>
          <w:numId w:val="2"/>
        </w:numPr>
        <w:tabs>
          <w:tab w:val="clear" w:pos="720"/>
          <w:tab w:val="num" w:pos="862"/>
        </w:tabs>
        <w:ind w:left="862"/>
        <w:rPr>
          <w:szCs w:val="24"/>
        </w:rPr>
      </w:pPr>
      <w:r w:rsidRPr="00166665">
        <w:rPr>
          <w:b/>
          <w:szCs w:val="24"/>
        </w:rPr>
        <w:t>Benefits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3056E9" w:rsidTr="003056E9">
        <w:tc>
          <w:tcPr>
            <w:tcW w:w="5058" w:type="dxa"/>
          </w:tcPr>
          <w:p w:rsidR="003056E9" w:rsidRDefault="003056E9" w:rsidP="003056E9">
            <w:pPr>
              <w:rPr>
                <w:b/>
                <w:szCs w:val="24"/>
              </w:rPr>
            </w:pPr>
          </w:p>
        </w:tc>
        <w:tc>
          <w:tcPr>
            <w:tcW w:w="1559" w:type="dxa"/>
          </w:tcPr>
          <w:p w:rsidR="003056E9" w:rsidRDefault="003056E9" w:rsidP="003056E9">
            <w:pPr>
              <w:jc w:val="right"/>
              <w:rPr>
                <w:b/>
                <w:szCs w:val="24"/>
              </w:rPr>
            </w:pPr>
            <w:r>
              <w:rPr>
                <w:b/>
                <w:szCs w:val="24"/>
              </w:rPr>
              <w:t>2012/13</w:t>
            </w:r>
          </w:p>
          <w:p w:rsidR="003056E9" w:rsidRDefault="003056E9" w:rsidP="003056E9">
            <w:pPr>
              <w:jc w:val="right"/>
              <w:rPr>
                <w:b/>
                <w:szCs w:val="24"/>
              </w:rPr>
            </w:pPr>
            <w:r>
              <w:rPr>
                <w:b/>
                <w:szCs w:val="24"/>
              </w:rPr>
              <w:t>£m</w:t>
            </w:r>
          </w:p>
        </w:tc>
        <w:tc>
          <w:tcPr>
            <w:tcW w:w="430" w:type="dxa"/>
            <w:tcBorders>
              <w:right w:val="single" w:sz="4" w:space="0" w:color="FFFFFF" w:themeColor="background1"/>
            </w:tcBorders>
          </w:tcPr>
          <w:p w:rsidR="003056E9" w:rsidRDefault="003056E9" w:rsidP="003056E9">
            <w:pPr>
              <w:jc w:val="right"/>
              <w:rPr>
                <w:b/>
                <w:szCs w:val="24"/>
              </w:rPr>
            </w:pPr>
          </w:p>
          <w:p w:rsidR="003056E9" w:rsidRDefault="003056E9" w:rsidP="003056E9">
            <w:pPr>
              <w:jc w:val="right"/>
              <w:rPr>
                <w:b/>
                <w:szCs w:val="24"/>
              </w:rPr>
            </w:pPr>
          </w:p>
        </w:tc>
        <w:tc>
          <w:tcPr>
            <w:tcW w:w="1696" w:type="dxa"/>
            <w:tcBorders>
              <w:left w:val="single" w:sz="4" w:space="0" w:color="FFFFFF" w:themeColor="background1"/>
            </w:tcBorders>
          </w:tcPr>
          <w:p w:rsidR="003056E9" w:rsidRDefault="003056E9" w:rsidP="003056E9">
            <w:pPr>
              <w:jc w:val="right"/>
              <w:rPr>
                <w:b/>
                <w:szCs w:val="24"/>
              </w:rPr>
            </w:pPr>
            <w:r>
              <w:rPr>
                <w:b/>
                <w:szCs w:val="24"/>
              </w:rPr>
              <w:t>2011/12</w:t>
            </w:r>
          </w:p>
          <w:p w:rsidR="003056E9" w:rsidRDefault="003056E9" w:rsidP="003056E9">
            <w:pPr>
              <w:jc w:val="right"/>
              <w:rPr>
                <w:b/>
                <w:szCs w:val="24"/>
              </w:rPr>
            </w:pPr>
            <w:r>
              <w:rPr>
                <w:b/>
                <w:szCs w:val="24"/>
              </w:rPr>
              <w:t>£m</w:t>
            </w:r>
          </w:p>
          <w:p w:rsidR="003056E9" w:rsidRDefault="003056E9" w:rsidP="003056E9">
            <w:pPr>
              <w:jc w:val="right"/>
              <w:rPr>
                <w:b/>
                <w:szCs w:val="24"/>
              </w:rPr>
            </w:pPr>
          </w:p>
        </w:tc>
      </w:tr>
      <w:tr w:rsidR="003056E9" w:rsidRPr="007A07AD" w:rsidTr="003056E9">
        <w:tc>
          <w:tcPr>
            <w:tcW w:w="5058" w:type="dxa"/>
          </w:tcPr>
          <w:p w:rsidR="003056E9" w:rsidRPr="007A07AD" w:rsidRDefault="003056E9" w:rsidP="003056E9">
            <w:pPr>
              <w:rPr>
                <w:szCs w:val="24"/>
              </w:rPr>
            </w:pPr>
            <w:r>
              <w:rPr>
                <w:szCs w:val="24"/>
              </w:rPr>
              <w:t>Pensions</w:t>
            </w:r>
          </w:p>
        </w:tc>
        <w:tc>
          <w:tcPr>
            <w:tcW w:w="1559" w:type="dxa"/>
          </w:tcPr>
          <w:p w:rsidR="003056E9" w:rsidRPr="007A07AD" w:rsidRDefault="003056E9" w:rsidP="003056E9">
            <w:pPr>
              <w:jc w:val="right"/>
              <w:rPr>
                <w:szCs w:val="24"/>
              </w:rPr>
            </w:pPr>
            <w:r>
              <w:rPr>
                <w:szCs w:val="24"/>
              </w:rPr>
              <w:t>176.5</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left w:val="single" w:sz="4" w:space="0" w:color="FFFFFF" w:themeColor="background1"/>
            </w:tcBorders>
          </w:tcPr>
          <w:p w:rsidR="003056E9" w:rsidRPr="007A07AD" w:rsidRDefault="003056E9" w:rsidP="003056E9">
            <w:pPr>
              <w:jc w:val="right"/>
              <w:rPr>
                <w:szCs w:val="24"/>
              </w:rPr>
            </w:pPr>
            <w:r>
              <w:rPr>
                <w:szCs w:val="24"/>
              </w:rPr>
              <w:t>163.6</w:t>
            </w:r>
          </w:p>
        </w:tc>
      </w:tr>
      <w:tr w:rsidR="003056E9" w:rsidRPr="007A07AD" w:rsidTr="003056E9">
        <w:tc>
          <w:tcPr>
            <w:tcW w:w="5058" w:type="dxa"/>
          </w:tcPr>
          <w:p w:rsidR="003056E9" w:rsidRDefault="003056E9" w:rsidP="003056E9">
            <w:pPr>
              <w:rPr>
                <w:szCs w:val="24"/>
              </w:rPr>
            </w:pPr>
            <w:r>
              <w:rPr>
                <w:szCs w:val="24"/>
              </w:rPr>
              <w:t>Lump sum retirement benefits</w:t>
            </w:r>
          </w:p>
        </w:tc>
        <w:tc>
          <w:tcPr>
            <w:tcW w:w="1559" w:type="dxa"/>
          </w:tcPr>
          <w:p w:rsidR="003056E9" w:rsidRPr="007A07AD" w:rsidRDefault="003056E9" w:rsidP="003056E9">
            <w:pPr>
              <w:jc w:val="right"/>
              <w:rPr>
                <w:szCs w:val="24"/>
              </w:rPr>
            </w:pPr>
            <w:r>
              <w:rPr>
                <w:szCs w:val="24"/>
              </w:rPr>
              <w:t>28.3</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left w:val="single" w:sz="4" w:space="0" w:color="FFFFFF" w:themeColor="background1"/>
            </w:tcBorders>
          </w:tcPr>
          <w:p w:rsidR="003056E9" w:rsidRDefault="003056E9" w:rsidP="003056E9">
            <w:pPr>
              <w:jc w:val="right"/>
              <w:rPr>
                <w:szCs w:val="24"/>
              </w:rPr>
            </w:pPr>
            <w:r>
              <w:rPr>
                <w:szCs w:val="24"/>
              </w:rPr>
              <w:t>51.0</w:t>
            </w:r>
          </w:p>
        </w:tc>
      </w:tr>
      <w:tr w:rsidR="003056E9" w:rsidRPr="007A07AD" w:rsidTr="003056E9">
        <w:tc>
          <w:tcPr>
            <w:tcW w:w="5058" w:type="dxa"/>
          </w:tcPr>
          <w:p w:rsidR="003056E9" w:rsidRDefault="003056E9" w:rsidP="003056E9">
            <w:pPr>
              <w:rPr>
                <w:szCs w:val="24"/>
              </w:rPr>
            </w:pPr>
            <w:r>
              <w:rPr>
                <w:szCs w:val="24"/>
              </w:rPr>
              <w:t>Lump Sum death benefits</w:t>
            </w:r>
          </w:p>
        </w:tc>
        <w:tc>
          <w:tcPr>
            <w:tcW w:w="1559" w:type="dxa"/>
            <w:tcBorders>
              <w:bottom w:val="single" w:sz="18" w:space="0" w:color="auto"/>
            </w:tcBorders>
          </w:tcPr>
          <w:p w:rsidR="003056E9" w:rsidRPr="007A07AD" w:rsidRDefault="003056E9" w:rsidP="003056E9">
            <w:pPr>
              <w:jc w:val="right"/>
              <w:rPr>
                <w:szCs w:val="24"/>
              </w:rPr>
            </w:pPr>
            <w:r>
              <w:rPr>
                <w:szCs w:val="24"/>
              </w:rPr>
              <w:t>5.4</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left w:val="single" w:sz="4" w:space="0" w:color="FFFFFF" w:themeColor="background1"/>
              <w:bottom w:val="single" w:sz="18" w:space="0" w:color="auto"/>
            </w:tcBorders>
          </w:tcPr>
          <w:p w:rsidR="003056E9" w:rsidRDefault="003056E9" w:rsidP="003056E9">
            <w:pPr>
              <w:jc w:val="right"/>
              <w:rPr>
                <w:szCs w:val="24"/>
              </w:rPr>
            </w:pPr>
            <w:r>
              <w:rPr>
                <w:szCs w:val="24"/>
              </w:rPr>
              <w:t>4.5</w:t>
            </w:r>
          </w:p>
        </w:tc>
      </w:tr>
      <w:tr w:rsidR="003056E9" w:rsidRPr="007A07AD" w:rsidTr="003056E9">
        <w:tc>
          <w:tcPr>
            <w:tcW w:w="5058" w:type="dxa"/>
          </w:tcPr>
          <w:p w:rsidR="003056E9" w:rsidRDefault="003056E9" w:rsidP="003056E9">
            <w:pPr>
              <w:rPr>
                <w:szCs w:val="24"/>
              </w:rPr>
            </w:pPr>
          </w:p>
        </w:tc>
        <w:tc>
          <w:tcPr>
            <w:tcW w:w="1559" w:type="dxa"/>
            <w:tcBorders>
              <w:top w:val="single" w:sz="18" w:space="0" w:color="auto"/>
              <w:bottom w:val="single" w:sz="18" w:space="0" w:color="auto"/>
            </w:tcBorders>
          </w:tcPr>
          <w:p w:rsidR="003056E9" w:rsidRPr="007A07AD" w:rsidRDefault="003056E9" w:rsidP="003056E9">
            <w:pPr>
              <w:jc w:val="right"/>
              <w:rPr>
                <w:szCs w:val="24"/>
              </w:rPr>
            </w:pPr>
            <w:r>
              <w:rPr>
                <w:szCs w:val="24"/>
              </w:rPr>
              <w:t>210.2</w:t>
            </w:r>
          </w:p>
        </w:tc>
        <w:tc>
          <w:tcPr>
            <w:tcW w:w="430" w:type="dxa"/>
            <w:tcBorders>
              <w:right w:val="single" w:sz="4" w:space="0" w:color="FFFFFF" w:themeColor="background1"/>
            </w:tcBorders>
          </w:tcPr>
          <w:p w:rsidR="003056E9" w:rsidRPr="007A07AD" w:rsidRDefault="003056E9" w:rsidP="003056E9">
            <w:pPr>
              <w:jc w:val="right"/>
              <w:rPr>
                <w:szCs w:val="24"/>
              </w:rPr>
            </w:pPr>
          </w:p>
        </w:tc>
        <w:tc>
          <w:tcPr>
            <w:tcW w:w="1696" w:type="dxa"/>
            <w:tcBorders>
              <w:top w:val="single" w:sz="18" w:space="0" w:color="auto"/>
              <w:left w:val="single" w:sz="4" w:space="0" w:color="FFFFFF" w:themeColor="background1"/>
              <w:bottom w:val="single" w:sz="18" w:space="0" w:color="auto"/>
            </w:tcBorders>
          </w:tcPr>
          <w:p w:rsidR="003056E9" w:rsidRDefault="003056E9" w:rsidP="003056E9">
            <w:pPr>
              <w:jc w:val="right"/>
              <w:rPr>
                <w:szCs w:val="24"/>
              </w:rPr>
            </w:pPr>
            <w:r>
              <w:rPr>
                <w:szCs w:val="24"/>
              </w:rPr>
              <w:t>219.1</w:t>
            </w:r>
          </w:p>
        </w:tc>
      </w:tr>
    </w:tbl>
    <w:p w:rsidR="00F75A7D" w:rsidRDefault="00F75A7D" w:rsidP="00F332F8">
      <w:pPr>
        <w:spacing w:after="240"/>
        <w:ind w:left="720"/>
        <w:jc w:val="both"/>
        <w:rPr>
          <w:szCs w:val="24"/>
        </w:rPr>
      </w:pPr>
    </w:p>
    <w:p w:rsidR="00897DBF" w:rsidRDefault="00804BF8">
      <w:pPr>
        <w:numPr>
          <w:ilvl w:val="0"/>
          <w:numId w:val="2"/>
        </w:numPr>
        <w:rPr>
          <w:b/>
          <w:szCs w:val="24"/>
        </w:rPr>
      </w:pPr>
      <w:r w:rsidRPr="00661385">
        <w:rPr>
          <w:b/>
          <w:szCs w:val="24"/>
        </w:rPr>
        <w:t>Payments to and on account of leavers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804BF8" w:rsidTr="00804BF8">
        <w:tc>
          <w:tcPr>
            <w:tcW w:w="5058" w:type="dxa"/>
          </w:tcPr>
          <w:p w:rsidR="00804BF8" w:rsidRDefault="00804BF8" w:rsidP="00804BF8">
            <w:pPr>
              <w:rPr>
                <w:b/>
                <w:szCs w:val="24"/>
              </w:rPr>
            </w:pPr>
          </w:p>
        </w:tc>
        <w:tc>
          <w:tcPr>
            <w:tcW w:w="1559" w:type="dxa"/>
          </w:tcPr>
          <w:p w:rsidR="00804BF8" w:rsidRDefault="00804BF8" w:rsidP="00804BF8">
            <w:pPr>
              <w:jc w:val="right"/>
              <w:rPr>
                <w:b/>
                <w:szCs w:val="24"/>
              </w:rPr>
            </w:pPr>
            <w:r>
              <w:rPr>
                <w:b/>
                <w:szCs w:val="24"/>
              </w:rPr>
              <w:t>2012/13</w:t>
            </w:r>
          </w:p>
          <w:p w:rsidR="00804BF8" w:rsidRDefault="00804BF8" w:rsidP="00804BF8">
            <w:pPr>
              <w:jc w:val="right"/>
              <w:rPr>
                <w:b/>
                <w:szCs w:val="24"/>
              </w:rPr>
            </w:pPr>
            <w:r>
              <w:rPr>
                <w:b/>
                <w:szCs w:val="24"/>
              </w:rPr>
              <w:t>£m</w:t>
            </w:r>
          </w:p>
        </w:tc>
        <w:tc>
          <w:tcPr>
            <w:tcW w:w="430" w:type="dxa"/>
            <w:tcBorders>
              <w:right w:val="single" w:sz="4" w:space="0" w:color="FFFFFF" w:themeColor="background1"/>
            </w:tcBorders>
          </w:tcPr>
          <w:p w:rsidR="00804BF8" w:rsidRDefault="00804BF8" w:rsidP="00804BF8">
            <w:pPr>
              <w:jc w:val="right"/>
              <w:rPr>
                <w:b/>
                <w:szCs w:val="24"/>
              </w:rPr>
            </w:pPr>
          </w:p>
          <w:p w:rsidR="00804BF8" w:rsidRDefault="00804BF8" w:rsidP="00804BF8">
            <w:pPr>
              <w:jc w:val="right"/>
              <w:rPr>
                <w:b/>
                <w:szCs w:val="24"/>
              </w:rPr>
            </w:pPr>
          </w:p>
        </w:tc>
        <w:tc>
          <w:tcPr>
            <w:tcW w:w="1696" w:type="dxa"/>
            <w:tcBorders>
              <w:left w:val="single" w:sz="4" w:space="0" w:color="FFFFFF" w:themeColor="background1"/>
            </w:tcBorders>
          </w:tcPr>
          <w:p w:rsidR="00804BF8" w:rsidRDefault="00804BF8" w:rsidP="00804BF8">
            <w:pPr>
              <w:jc w:val="right"/>
              <w:rPr>
                <w:b/>
                <w:szCs w:val="24"/>
              </w:rPr>
            </w:pPr>
            <w:r>
              <w:rPr>
                <w:b/>
                <w:szCs w:val="24"/>
              </w:rPr>
              <w:t>2011/12</w:t>
            </w:r>
          </w:p>
          <w:p w:rsidR="00804BF8" w:rsidRDefault="00804BF8" w:rsidP="00804BF8">
            <w:pPr>
              <w:jc w:val="right"/>
              <w:rPr>
                <w:b/>
                <w:szCs w:val="24"/>
              </w:rPr>
            </w:pPr>
            <w:r>
              <w:rPr>
                <w:b/>
                <w:szCs w:val="24"/>
              </w:rPr>
              <w:t>£m</w:t>
            </w:r>
          </w:p>
          <w:p w:rsidR="00804BF8" w:rsidRDefault="00804BF8" w:rsidP="00804BF8">
            <w:pPr>
              <w:jc w:val="right"/>
              <w:rPr>
                <w:b/>
                <w:szCs w:val="24"/>
              </w:rPr>
            </w:pPr>
          </w:p>
        </w:tc>
      </w:tr>
      <w:tr w:rsidR="00804BF8" w:rsidRPr="007A07AD" w:rsidTr="00804BF8">
        <w:tc>
          <w:tcPr>
            <w:tcW w:w="5058" w:type="dxa"/>
          </w:tcPr>
          <w:p w:rsidR="00804BF8" w:rsidRPr="007A07AD" w:rsidRDefault="00804BF8" w:rsidP="00804BF8">
            <w:pPr>
              <w:rPr>
                <w:szCs w:val="24"/>
              </w:rPr>
            </w:pPr>
            <w:r>
              <w:rPr>
                <w:szCs w:val="24"/>
              </w:rPr>
              <w:t>Refunds to members leaving service</w:t>
            </w:r>
          </w:p>
        </w:tc>
        <w:tc>
          <w:tcPr>
            <w:tcW w:w="1559" w:type="dxa"/>
          </w:tcPr>
          <w:p w:rsidR="00804BF8" w:rsidRPr="007A07AD" w:rsidRDefault="00804BF8" w:rsidP="00804BF8">
            <w:pPr>
              <w:jc w:val="right"/>
              <w:rPr>
                <w:szCs w:val="24"/>
              </w:rPr>
            </w:pPr>
            <w:r>
              <w:rPr>
                <w:szCs w:val="24"/>
              </w:rPr>
              <w:t>0</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Pr="007A07AD" w:rsidRDefault="00804BF8" w:rsidP="00804BF8">
            <w:pPr>
              <w:jc w:val="right"/>
              <w:rPr>
                <w:szCs w:val="24"/>
              </w:rPr>
            </w:pPr>
            <w:r>
              <w:rPr>
                <w:szCs w:val="24"/>
              </w:rPr>
              <w:t>0.1</w:t>
            </w:r>
          </w:p>
        </w:tc>
      </w:tr>
      <w:tr w:rsidR="00804BF8" w:rsidRPr="007A07AD" w:rsidTr="00804BF8">
        <w:tc>
          <w:tcPr>
            <w:tcW w:w="5058" w:type="dxa"/>
          </w:tcPr>
          <w:p w:rsidR="00804BF8" w:rsidRDefault="00804BF8" w:rsidP="00804BF8">
            <w:pPr>
              <w:rPr>
                <w:szCs w:val="24"/>
              </w:rPr>
            </w:pPr>
            <w:r>
              <w:rPr>
                <w:szCs w:val="24"/>
              </w:rPr>
              <w:t>Contributions equivalent premium</w:t>
            </w:r>
          </w:p>
        </w:tc>
        <w:tc>
          <w:tcPr>
            <w:tcW w:w="1559" w:type="dxa"/>
          </w:tcPr>
          <w:p w:rsidR="00804BF8" w:rsidRPr="007A07AD" w:rsidRDefault="00804BF8" w:rsidP="00804BF8">
            <w:pPr>
              <w:jc w:val="right"/>
              <w:rPr>
                <w:szCs w:val="24"/>
              </w:rPr>
            </w:pPr>
            <w:r>
              <w:rPr>
                <w:szCs w:val="24"/>
              </w:rPr>
              <w:t>0</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(0.1)</w:t>
            </w:r>
          </w:p>
        </w:tc>
      </w:tr>
      <w:tr w:rsidR="00804BF8" w:rsidRPr="007A07AD" w:rsidTr="00804BF8">
        <w:tc>
          <w:tcPr>
            <w:tcW w:w="5058" w:type="dxa"/>
          </w:tcPr>
          <w:p w:rsidR="00804BF8" w:rsidRDefault="00804BF8" w:rsidP="00804BF8">
            <w:pPr>
              <w:rPr>
                <w:szCs w:val="24"/>
              </w:rPr>
            </w:pPr>
            <w:r>
              <w:rPr>
                <w:szCs w:val="24"/>
              </w:rPr>
              <w:t>Individual transfers to other schemes</w:t>
            </w:r>
          </w:p>
        </w:tc>
        <w:tc>
          <w:tcPr>
            <w:tcW w:w="1559" w:type="dxa"/>
            <w:tcBorders>
              <w:bottom w:val="single" w:sz="18" w:space="0" w:color="auto"/>
            </w:tcBorders>
          </w:tcPr>
          <w:p w:rsidR="00804BF8" w:rsidRPr="007A07AD" w:rsidRDefault="00804BF8" w:rsidP="00804BF8">
            <w:pPr>
              <w:jc w:val="right"/>
              <w:rPr>
                <w:szCs w:val="24"/>
              </w:rPr>
            </w:pPr>
            <w:r>
              <w:rPr>
                <w:szCs w:val="24"/>
              </w:rPr>
              <w:t>12.6</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bottom w:val="single" w:sz="18" w:space="0" w:color="auto"/>
            </w:tcBorders>
          </w:tcPr>
          <w:p w:rsidR="00804BF8" w:rsidRDefault="00804BF8" w:rsidP="00804BF8">
            <w:pPr>
              <w:jc w:val="right"/>
              <w:rPr>
                <w:szCs w:val="24"/>
              </w:rPr>
            </w:pPr>
            <w:r>
              <w:rPr>
                <w:szCs w:val="24"/>
              </w:rPr>
              <w:t>13.7</w:t>
            </w:r>
          </w:p>
        </w:tc>
      </w:tr>
      <w:tr w:rsidR="00804BF8" w:rsidRPr="007A07AD" w:rsidTr="00804BF8">
        <w:tc>
          <w:tcPr>
            <w:tcW w:w="5058" w:type="dxa"/>
          </w:tcPr>
          <w:p w:rsidR="00804BF8" w:rsidRDefault="00804BF8" w:rsidP="00804BF8">
            <w:pPr>
              <w:rPr>
                <w:szCs w:val="24"/>
              </w:rPr>
            </w:pPr>
          </w:p>
        </w:tc>
        <w:tc>
          <w:tcPr>
            <w:tcW w:w="1559" w:type="dxa"/>
            <w:tcBorders>
              <w:top w:val="single" w:sz="18" w:space="0" w:color="auto"/>
              <w:bottom w:val="single" w:sz="18" w:space="0" w:color="auto"/>
            </w:tcBorders>
          </w:tcPr>
          <w:p w:rsidR="00804BF8" w:rsidRPr="007A07AD" w:rsidRDefault="00804BF8" w:rsidP="00804BF8">
            <w:pPr>
              <w:jc w:val="right"/>
              <w:rPr>
                <w:szCs w:val="24"/>
              </w:rPr>
            </w:pPr>
            <w:r>
              <w:rPr>
                <w:szCs w:val="24"/>
              </w:rPr>
              <w:t>12.6</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top w:val="single" w:sz="18" w:space="0" w:color="auto"/>
              <w:left w:val="single" w:sz="4" w:space="0" w:color="FFFFFF" w:themeColor="background1"/>
              <w:bottom w:val="single" w:sz="18" w:space="0" w:color="auto"/>
            </w:tcBorders>
          </w:tcPr>
          <w:p w:rsidR="00804BF8" w:rsidRDefault="00804BF8" w:rsidP="00804BF8">
            <w:pPr>
              <w:jc w:val="right"/>
              <w:rPr>
                <w:szCs w:val="24"/>
              </w:rPr>
            </w:pPr>
            <w:r>
              <w:rPr>
                <w:szCs w:val="24"/>
              </w:rPr>
              <w:t>13.7</w:t>
            </w:r>
          </w:p>
        </w:tc>
      </w:tr>
    </w:tbl>
    <w:p w:rsidR="00804BF8" w:rsidRDefault="00804BF8" w:rsidP="00804BF8">
      <w:pPr>
        <w:rPr>
          <w:szCs w:val="24"/>
        </w:rPr>
      </w:pPr>
    </w:p>
    <w:p w:rsidR="00804BF8" w:rsidRPr="00166665" w:rsidRDefault="00804BF8" w:rsidP="00804BF8">
      <w:pPr>
        <w:rPr>
          <w:szCs w:val="24"/>
        </w:rPr>
      </w:pPr>
    </w:p>
    <w:p w:rsidR="00897DBF" w:rsidRDefault="00804BF8">
      <w:pPr>
        <w:numPr>
          <w:ilvl w:val="0"/>
          <w:numId w:val="2"/>
        </w:numPr>
        <w:rPr>
          <w:b/>
          <w:szCs w:val="24"/>
        </w:rPr>
      </w:pPr>
      <w:r w:rsidRPr="00661385">
        <w:rPr>
          <w:b/>
          <w:szCs w:val="24"/>
        </w:rPr>
        <w:t>Administrative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804BF8" w:rsidTr="00804BF8">
        <w:tc>
          <w:tcPr>
            <w:tcW w:w="5058" w:type="dxa"/>
          </w:tcPr>
          <w:p w:rsidR="00804BF8" w:rsidRDefault="00804BF8" w:rsidP="00804BF8">
            <w:pPr>
              <w:rPr>
                <w:b/>
                <w:szCs w:val="24"/>
              </w:rPr>
            </w:pPr>
          </w:p>
        </w:tc>
        <w:tc>
          <w:tcPr>
            <w:tcW w:w="1559" w:type="dxa"/>
          </w:tcPr>
          <w:p w:rsidR="00804BF8" w:rsidRDefault="00804BF8" w:rsidP="00804BF8">
            <w:pPr>
              <w:jc w:val="right"/>
              <w:rPr>
                <w:b/>
                <w:szCs w:val="24"/>
              </w:rPr>
            </w:pPr>
            <w:r>
              <w:rPr>
                <w:b/>
                <w:szCs w:val="24"/>
              </w:rPr>
              <w:t>2012/13</w:t>
            </w:r>
          </w:p>
          <w:p w:rsidR="00804BF8" w:rsidRDefault="00804BF8" w:rsidP="00804BF8">
            <w:pPr>
              <w:jc w:val="right"/>
              <w:rPr>
                <w:b/>
                <w:szCs w:val="24"/>
              </w:rPr>
            </w:pPr>
            <w:r>
              <w:rPr>
                <w:b/>
                <w:szCs w:val="24"/>
              </w:rPr>
              <w:t>£m</w:t>
            </w:r>
          </w:p>
        </w:tc>
        <w:tc>
          <w:tcPr>
            <w:tcW w:w="430" w:type="dxa"/>
            <w:tcBorders>
              <w:right w:val="single" w:sz="4" w:space="0" w:color="FFFFFF" w:themeColor="background1"/>
            </w:tcBorders>
          </w:tcPr>
          <w:p w:rsidR="00804BF8" w:rsidRDefault="00804BF8" w:rsidP="00804BF8">
            <w:pPr>
              <w:jc w:val="right"/>
              <w:rPr>
                <w:b/>
                <w:szCs w:val="24"/>
              </w:rPr>
            </w:pPr>
          </w:p>
          <w:p w:rsidR="00804BF8" w:rsidRDefault="00804BF8" w:rsidP="00804BF8">
            <w:pPr>
              <w:jc w:val="right"/>
              <w:rPr>
                <w:b/>
                <w:szCs w:val="24"/>
              </w:rPr>
            </w:pPr>
          </w:p>
        </w:tc>
        <w:tc>
          <w:tcPr>
            <w:tcW w:w="1696" w:type="dxa"/>
            <w:tcBorders>
              <w:left w:val="single" w:sz="4" w:space="0" w:color="FFFFFF" w:themeColor="background1"/>
            </w:tcBorders>
          </w:tcPr>
          <w:p w:rsidR="00804BF8" w:rsidRDefault="00804BF8" w:rsidP="00804BF8">
            <w:pPr>
              <w:jc w:val="right"/>
              <w:rPr>
                <w:b/>
                <w:szCs w:val="24"/>
              </w:rPr>
            </w:pPr>
            <w:r>
              <w:rPr>
                <w:b/>
                <w:szCs w:val="24"/>
              </w:rPr>
              <w:t>2011/12</w:t>
            </w:r>
          </w:p>
          <w:p w:rsidR="00804BF8" w:rsidRDefault="00804BF8" w:rsidP="00804BF8">
            <w:pPr>
              <w:jc w:val="right"/>
              <w:rPr>
                <w:b/>
                <w:szCs w:val="24"/>
              </w:rPr>
            </w:pPr>
            <w:r>
              <w:rPr>
                <w:b/>
                <w:szCs w:val="24"/>
              </w:rPr>
              <w:t>£m</w:t>
            </w:r>
          </w:p>
          <w:p w:rsidR="00804BF8" w:rsidRDefault="00804BF8" w:rsidP="00804BF8">
            <w:pPr>
              <w:jc w:val="right"/>
              <w:rPr>
                <w:b/>
                <w:szCs w:val="24"/>
              </w:rPr>
            </w:pPr>
          </w:p>
        </w:tc>
      </w:tr>
      <w:tr w:rsidR="00804BF8" w:rsidRPr="007A07AD" w:rsidTr="00804BF8">
        <w:tc>
          <w:tcPr>
            <w:tcW w:w="5058" w:type="dxa"/>
          </w:tcPr>
          <w:p w:rsidR="00804BF8" w:rsidRPr="007A07AD" w:rsidRDefault="00804BF8" w:rsidP="00804BF8">
            <w:pPr>
              <w:rPr>
                <w:szCs w:val="24"/>
              </w:rPr>
            </w:pPr>
            <w:r>
              <w:rPr>
                <w:szCs w:val="24"/>
              </w:rPr>
              <w:t>Administration and processing</w:t>
            </w:r>
          </w:p>
        </w:tc>
        <w:tc>
          <w:tcPr>
            <w:tcW w:w="1559" w:type="dxa"/>
          </w:tcPr>
          <w:p w:rsidR="00804BF8" w:rsidRPr="007A07AD" w:rsidRDefault="00804BF8" w:rsidP="00804BF8">
            <w:pPr>
              <w:jc w:val="right"/>
              <w:rPr>
                <w:szCs w:val="24"/>
              </w:rPr>
            </w:pPr>
            <w:r>
              <w:rPr>
                <w:szCs w:val="24"/>
              </w:rPr>
              <w:t>3.8</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Pr="007A07AD" w:rsidRDefault="00804BF8" w:rsidP="00804BF8">
            <w:pPr>
              <w:jc w:val="right"/>
              <w:rPr>
                <w:szCs w:val="24"/>
              </w:rPr>
            </w:pPr>
            <w:r>
              <w:rPr>
                <w:szCs w:val="24"/>
              </w:rPr>
              <w:t>3.4</w:t>
            </w:r>
          </w:p>
        </w:tc>
      </w:tr>
      <w:tr w:rsidR="00804BF8" w:rsidRPr="007A07AD" w:rsidTr="00804BF8">
        <w:tc>
          <w:tcPr>
            <w:tcW w:w="5058" w:type="dxa"/>
          </w:tcPr>
          <w:p w:rsidR="00804BF8" w:rsidRDefault="00804BF8" w:rsidP="00804BF8">
            <w:pPr>
              <w:rPr>
                <w:szCs w:val="24"/>
              </w:rPr>
            </w:pPr>
            <w:r>
              <w:rPr>
                <w:szCs w:val="24"/>
              </w:rPr>
              <w:t>Audit fee</w:t>
            </w:r>
          </w:p>
        </w:tc>
        <w:tc>
          <w:tcPr>
            <w:tcW w:w="1559" w:type="dxa"/>
          </w:tcPr>
          <w:p w:rsidR="00804BF8" w:rsidRPr="007A07AD" w:rsidRDefault="00804BF8" w:rsidP="00804BF8">
            <w:pPr>
              <w:jc w:val="right"/>
              <w:rPr>
                <w:szCs w:val="24"/>
              </w:rPr>
            </w:pPr>
            <w:r>
              <w:rPr>
                <w:szCs w:val="24"/>
              </w:rPr>
              <w:t>0.1</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0.1</w:t>
            </w:r>
          </w:p>
        </w:tc>
      </w:tr>
      <w:tr w:rsidR="00804BF8" w:rsidRPr="007A07AD" w:rsidTr="00804BF8">
        <w:tc>
          <w:tcPr>
            <w:tcW w:w="5058" w:type="dxa"/>
          </w:tcPr>
          <w:p w:rsidR="00804BF8" w:rsidRDefault="00804BF8" w:rsidP="00804BF8">
            <w:pPr>
              <w:rPr>
                <w:szCs w:val="24"/>
              </w:rPr>
            </w:pPr>
            <w:r>
              <w:rPr>
                <w:szCs w:val="24"/>
              </w:rPr>
              <w:t>Legal and other professional fees</w:t>
            </w:r>
          </w:p>
        </w:tc>
        <w:tc>
          <w:tcPr>
            <w:tcW w:w="1559" w:type="dxa"/>
            <w:tcBorders>
              <w:bottom w:val="single" w:sz="18" w:space="0" w:color="auto"/>
            </w:tcBorders>
          </w:tcPr>
          <w:p w:rsidR="00804BF8" w:rsidRPr="007A07AD" w:rsidRDefault="00804BF8" w:rsidP="00804BF8">
            <w:pPr>
              <w:jc w:val="right"/>
              <w:rPr>
                <w:szCs w:val="24"/>
              </w:rPr>
            </w:pPr>
            <w:r>
              <w:rPr>
                <w:szCs w:val="24"/>
              </w:rPr>
              <w:t>1.7</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bottom w:val="single" w:sz="18" w:space="0" w:color="auto"/>
            </w:tcBorders>
          </w:tcPr>
          <w:p w:rsidR="00804BF8" w:rsidRDefault="00804BF8" w:rsidP="00804BF8">
            <w:pPr>
              <w:jc w:val="right"/>
              <w:rPr>
                <w:szCs w:val="24"/>
              </w:rPr>
            </w:pPr>
            <w:r>
              <w:rPr>
                <w:szCs w:val="24"/>
              </w:rPr>
              <w:t>0.3</w:t>
            </w:r>
          </w:p>
        </w:tc>
      </w:tr>
      <w:tr w:rsidR="00804BF8" w:rsidRPr="007A07AD" w:rsidTr="00804BF8">
        <w:tc>
          <w:tcPr>
            <w:tcW w:w="5058" w:type="dxa"/>
          </w:tcPr>
          <w:p w:rsidR="00804BF8" w:rsidRDefault="00804BF8" w:rsidP="00804BF8">
            <w:pPr>
              <w:rPr>
                <w:szCs w:val="24"/>
              </w:rPr>
            </w:pPr>
          </w:p>
        </w:tc>
        <w:tc>
          <w:tcPr>
            <w:tcW w:w="1559" w:type="dxa"/>
            <w:tcBorders>
              <w:top w:val="single" w:sz="18" w:space="0" w:color="auto"/>
              <w:bottom w:val="single" w:sz="18" w:space="0" w:color="auto"/>
            </w:tcBorders>
          </w:tcPr>
          <w:p w:rsidR="00804BF8" w:rsidRPr="007A07AD" w:rsidRDefault="00804BF8" w:rsidP="00804BF8">
            <w:pPr>
              <w:jc w:val="right"/>
              <w:rPr>
                <w:szCs w:val="24"/>
              </w:rPr>
            </w:pPr>
            <w:r>
              <w:rPr>
                <w:szCs w:val="24"/>
              </w:rPr>
              <w:t>5.6</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top w:val="single" w:sz="18" w:space="0" w:color="auto"/>
              <w:left w:val="single" w:sz="4" w:space="0" w:color="FFFFFF" w:themeColor="background1"/>
              <w:bottom w:val="single" w:sz="18" w:space="0" w:color="auto"/>
            </w:tcBorders>
          </w:tcPr>
          <w:p w:rsidR="00804BF8" w:rsidRDefault="00804BF8" w:rsidP="00804BF8">
            <w:pPr>
              <w:jc w:val="right"/>
              <w:rPr>
                <w:szCs w:val="24"/>
              </w:rPr>
            </w:pPr>
            <w:r>
              <w:rPr>
                <w:szCs w:val="24"/>
              </w:rPr>
              <w:t>3.8</w:t>
            </w:r>
          </w:p>
        </w:tc>
      </w:tr>
    </w:tbl>
    <w:p w:rsidR="00804BF8" w:rsidRDefault="00804BF8" w:rsidP="00804BF8">
      <w:pPr>
        <w:rPr>
          <w:szCs w:val="24"/>
        </w:rPr>
      </w:pPr>
    </w:p>
    <w:p w:rsidR="002E5FF6" w:rsidRPr="00166665" w:rsidRDefault="002E5FF6" w:rsidP="00804BF8">
      <w:pPr>
        <w:rPr>
          <w:szCs w:val="24"/>
        </w:rPr>
      </w:pPr>
    </w:p>
    <w:p w:rsidR="00897DBF" w:rsidRDefault="00804BF8">
      <w:pPr>
        <w:numPr>
          <w:ilvl w:val="0"/>
          <w:numId w:val="2"/>
        </w:numPr>
        <w:spacing w:after="120"/>
        <w:ind w:left="862"/>
        <w:rPr>
          <w:szCs w:val="24"/>
        </w:rPr>
      </w:pPr>
      <w:r w:rsidRPr="00166665">
        <w:rPr>
          <w:b/>
          <w:szCs w:val="24"/>
        </w:rPr>
        <w:t>Investment income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804BF8" w:rsidTr="007B201B">
        <w:tc>
          <w:tcPr>
            <w:tcW w:w="5058" w:type="dxa"/>
          </w:tcPr>
          <w:p w:rsidR="00804BF8" w:rsidRDefault="00804BF8" w:rsidP="00804BF8">
            <w:pPr>
              <w:rPr>
                <w:b/>
                <w:szCs w:val="24"/>
              </w:rPr>
            </w:pPr>
          </w:p>
        </w:tc>
        <w:tc>
          <w:tcPr>
            <w:tcW w:w="1559" w:type="dxa"/>
          </w:tcPr>
          <w:p w:rsidR="00804BF8" w:rsidRDefault="00804BF8" w:rsidP="00804BF8">
            <w:pPr>
              <w:jc w:val="right"/>
              <w:rPr>
                <w:b/>
                <w:szCs w:val="24"/>
              </w:rPr>
            </w:pPr>
            <w:r>
              <w:rPr>
                <w:b/>
                <w:szCs w:val="24"/>
              </w:rPr>
              <w:t>2012/13</w:t>
            </w:r>
          </w:p>
          <w:p w:rsidR="00804BF8" w:rsidRDefault="00804BF8" w:rsidP="00804BF8">
            <w:pPr>
              <w:jc w:val="right"/>
              <w:rPr>
                <w:b/>
                <w:szCs w:val="24"/>
              </w:rPr>
            </w:pPr>
            <w:r>
              <w:rPr>
                <w:b/>
                <w:szCs w:val="24"/>
              </w:rPr>
              <w:t>£m</w:t>
            </w:r>
          </w:p>
        </w:tc>
        <w:tc>
          <w:tcPr>
            <w:tcW w:w="430" w:type="dxa"/>
            <w:tcBorders>
              <w:right w:val="single" w:sz="4" w:space="0" w:color="FFFFFF" w:themeColor="background1"/>
            </w:tcBorders>
          </w:tcPr>
          <w:p w:rsidR="00804BF8" w:rsidRDefault="00804BF8" w:rsidP="00804BF8">
            <w:pPr>
              <w:jc w:val="right"/>
              <w:rPr>
                <w:b/>
                <w:szCs w:val="24"/>
              </w:rPr>
            </w:pPr>
          </w:p>
          <w:p w:rsidR="00804BF8" w:rsidRDefault="00804BF8" w:rsidP="00804BF8">
            <w:pPr>
              <w:jc w:val="right"/>
              <w:rPr>
                <w:b/>
                <w:szCs w:val="24"/>
              </w:rPr>
            </w:pPr>
          </w:p>
        </w:tc>
        <w:tc>
          <w:tcPr>
            <w:tcW w:w="1696" w:type="dxa"/>
            <w:tcBorders>
              <w:left w:val="single" w:sz="4" w:space="0" w:color="FFFFFF" w:themeColor="background1"/>
            </w:tcBorders>
          </w:tcPr>
          <w:p w:rsidR="00804BF8" w:rsidRDefault="00804BF8" w:rsidP="00804BF8">
            <w:pPr>
              <w:jc w:val="right"/>
              <w:rPr>
                <w:b/>
                <w:szCs w:val="24"/>
              </w:rPr>
            </w:pPr>
            <w:r>
              <w:rPr>
                <w:b/>
                <w:szCs w:val="24"/>
              </w:rPr>
              <w:t>2011/12</w:t>
            </w:r>
          </w:p>
          <w:p w:rsidR="00804BF8" w:rsidRDefault="00804BF8" w:rsidP="00804BF8">
            <w:pPr>
              <w:jc w:val="right"/>
              <w:rPr>
                <w:b/>
                <w:szCs w:val="24"/>
              </w:rPr>
            </w:pPr>
            <w:r>
              <w:rPr>
                <w:b/>
                <w:szCs w:val="24"/>
              </w:rPr>
              <w:t>£m</w:t>
            </w:r>
          </w:p>
          <w:p w:rsidR="00804BF8" w:rsidRDefault="00804BF8" w:rsidP="00804BF8">
            <w:pPr>
              <w:jc w:val="right"/>
              <w:rPr>
                <w:b/>
                <w:szCs w:val="24"/>
              </w:rPr>
            </w:pPr>
          </w:p>
        </w:tc>
      </w:tr>
      <w:tr w:rsidR="00804BF8" w:rsidRPr="007A07AD" w:rsidTr="007B201B">
        <w:tc>
          <w:tcPr>
            <w:tcW w:w="5058" w:type="dxa"/>
          </w:tcPr>
          <w:p w:rsidR="00804BF8" w:rsidRPr="007A07AD" w:rsidRDefault="00804BF8" w:rsidP="00804BF8">
            <w:pPr>
              <w:rPr>
                <w:szCs w:val="24"/>
              </w:rPr>
            </w:pPr>
            <w:r>
              <w:rPr>
                <w:szCs w:val="24"/>
              </w:rPr>
              <w:t>Fixed interest securities</w:t>
            </w:r>
          </w:p>
        </w:tc>
        <w:tc>
          <w:tcPr>
            <w:tcW w:w="1559" w:type="dxa"/>
          </w:tcPr>
          <w:p w:rsidR="00804BF8" w:rsidRPr="007A07AD" w:rsidRDefault="00804BF8" w:rsidP="00804BF8">
            <w:pPr>
              <w:jc w:val="right"/>
              <w:rPr>
                <w:szCs w:val="24"/>
              </w:rPr>
            </w:pPr>
            <w:r>
              <w:rPr>
                <w:szCs w:val="24"/>
              </w:rPr>
              <w:t>21.5</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Pr="007A07AD" w:rsidRDefault="00804BF8" w:rsidP="00804BF8">
            <w:pPr>
              <w:jc w:val="right"/>
              <w:rPr>
                <w:szCs w:val="24"/>
              </w:rPr>
            </w:pPr>
            <w:r>
              <w:rPr>
                <w:szCs w:val="24"/>
              </w:rPr>
              <w:t>27.7</w:t>
            </w:r>
          </w:p>
        </w:tc>
      </w:tr>
      <w:tr w:rsidR="00804BF8" w:rsidRPr="007A07AD" w:rsidTr="007B201B">
        <w:tc>
          <w:tcPr>
            <w:tcW w:w="5058" w:type="dxa"/>
          </w:tcPr>
          <w:p w:rsidR="00804BF8" w:rsidRDefault="00804BF8" w:rsidP="00804BF8">
            <w:pPr>
              <w:rPr>
                <w:szCs w:val="24"/>
              </w:rPr>
            </w:pPr>
            <w:r>
              <w:rPr>
                <w:szCs w:val="24"/>
              </w:rPr>
              <w:t>Equity dividends</w:t>
            </w:r>
          </w:p>
        </w:tc>
        <w:tc>
          <w:tcPr>
            <w:tcW w:w="1559" w:type="dxa"/>
          </w:tcPr>
          <w:p w:rsidR="00804BF8" w:rsidRPr="007A07AD" w:rsidRDefault="00804BF8" w:rsidP="00804BF8">
            <w:pPr>
              <w:jc w:val="right"/>
              <w:rPr>
                <w:szCs w:val="24"/>
              </w:rPr>
            </w:pPr>
            <w:r>
              <w:rPr>
                <w:szCs w:val="24"/>
              </w:rPr>
              <w:t>59.5</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46.5</w:t>
            </w:r>
          </w:p>
        </w:tc>
      </w:tr>
      <w:tr w:rsidR="00804BF8" w:rsidRPr="007A07AD" w:rsidTr="007B201B">
        <w:tc>
          <w:tcPr>
            <w:tcW w:w="5058" w:type="dxa"/>
          </w:tcPr>
          <w:p w:rsidR="00804BF8" w:rsidRDefault="00804BF8" w:rsidP="00804BF8">
            <w:pPr>
              <w:rPr>
                <w:szCs w:val="24"/>
              </w:rPr>
            </w:pPr>
            <w:r>
              <w:rPr>
                <w:szCs w:val="24"/>
              </w:rPr>
              <w:t>Index linked securities</w:t>
            </w:r>
          </w:p>
        </w:tc>
        <w:tc>
          <w:tcPr>
            <w:tcW w:w="1559" w:type="dxa"/>
          </w:tcPr>
          <w:p w:rsidR="00804BF8" w:rsidRPr="007A07AD" w:rsidRDefault="00804BF8" w:rsidP="00804BF8">
            <w:pPr>
              <w:jc w:val="right"/>
              <w:rPr>
                <w:szCs w:val="24"/>
              </w:rPr>
            </w:pPr>
            <w:r>
              <w:rPr>
                <w:szCs w:val="24"/>
              </w:rPr>
              <w:t>1.2</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2.8</w:t>
            </w:r>
          </w:p>
        </w:tc>
      </w:tr>
      <w:tr w:rsidR="00804BF8" w:rsidRPr="007A07AD" w:rsidTr="007B201B">
        <w:tc>
          <w:tcPr>
            <w:tcW w:w="5058" w:type="dxa"/>
          </w:tcPr>
          <w:p w:rsidR="00804BF8" w:rsidRDefault="00804BF8" w:rsidP="00804BF8">
            <w:pPr>
              <w:rPr>
                <w:szCs w:val="24"/>
              </w:rPr>
            </w:pPr>
            <w:r>
              <w:rPr>
                <w:szCs w:val="24"/>
              </w:rPr>
              <w:t>Pooled investment vehicles</w:t>
            </w:r>
          </w:p>
        </w:tc>
        <w:tc>
          <w:tcPr>
            <w:tcW w:w="1559" w:type="dxa"/>
          </w:tcPr>
          <w:p w:rsidR="00804BF8" w:rsidRPr="007A07AD" w:rsidRDefault="00804BF8" w:rsidP="00804BF8">
            <w:pPr>
              <w:jc w:val="right"/>
              <w:rPr>
                <w:szCs w:val="24"/>
              </w:rPr>
            </w:pPr>
            <w:r>
              <w:rPr>
                <w:szCs w:val="24"/>
              </w:rPr>
              <w:t>6.3</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5.5</w:t>
            </w:r>
          </w:p>
        </w:tc>
      </w:tr>
      <w:tr w:rsidR="00804BF8" w:rsidRPr="007A07AD" w:rsidTr="007B201B">
        <w:tc>
          <w:tcPr>
            <w:tcW w:w="5058" w:type="dxa"/>
          </w:tcPr>
          <w:p w:rsidR="00804BF8" w:rsidRDefault="00804BF8" w:rsidP="00804BF8">
            <w:pPr>
              <w:rPr>
                <w:szCs w:val="24"/>
              </w:rPr>
            </w:pPr>
            <w:r>
              <w:rPr>
                <w:szCs w:val="24"/>
              </w:rPr>
              <w:t>Rents from properties</w:t>
            </w:r>
          </w:p>
        </w:tc>
        <w:tc>
          <w:tcPr>
            <w:tcW w:w="1559" w:type="dxa"/>
          </w:tcPr>
          <w:p w:rsidR="00804BF8" w:rsidRPr="007A07AD" w:rsidRDefault="00804BF8" w:rsidP="00804BF8">
            <w:pPr>
              <w:jc w:val="right"/>
              <w:rPr>
                <w:szCs w:val="24"/>
              </w:rPr>
            </w:pPr>
            <w:r>
              <w:rPr>
                <w:szCs w:val="24"/>
              </w:rPr>
              <w:t>28.1</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26.0</w:t>
            </w:r>
          </w:p>
        </w:tc>
      </w:tr>
      <w:tr w:rsidR="00804BF8" w:rsidRPr="007A07AD" w:rsidTr="007B201B">
        <w:tc>
          <w:tcPr>
            <w:tcW w:w="5058" w:type="dxa"/>
          </w:tcPr>
          <w:p w:rsidR="00804BF8" w:rsidRDefault="00804BF8" w:rsidP="00804BF8">
            <w:pPr>
              <w:rPr>
                <w:szCs w:val="24"/>
              </w:rPr>
            </w:pPr>
            <w:r>
              <w:rPr>
                <w:szCs w:val="24"/>
              </w:rPr>
              <w:t>Interest on cash deposits</w:t>
            </w:r>
          </w:p>
        </w:tc>
        <w:tc>
          <w:tcPr>
            <w:tcW w:w="1559" w:type="dxa"/>
          </w:tcPr>
          <w:p w:rsidR="00804BF8" w:rsidRPr="007A07AD" w:rsidRDefault="00804BF8" w:rsidP="00804BF8">
            <w:pPr>
              <w:jc w:val="right"/>
              <w:rPr>
                <w:szCs w:val="24"/>
              </w:rPr>
            </w:pPr>
            <w:r>
              <w:rPr>
                <w:szCs w:val="24"/>
              </w:rPr>
              <w:t>2.8</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Default="00804BF8" w:rsidP="00804BF8">
            <w:pPr>
              <w:jc w:val="right"/>
              <w:rPr>
                <w:szCs w:val="24"/>
              </w:rPr>
            </w:pPr>
            <w:r>
              <w:rPr>
                <w:szCs w:val="24"/>
              </w:rPr>
              <w:t>0.7</w:t>
            </w:r>
          </w:p>
        </w:tc>
      </w:tr>
      <w:tr w:rsidR="00804BF8" w:rsidRPr="007A07AD" w:rsidTr="007B201B">
        <w:tc>
          <w:tcPr>
            <w:tcW w:w="5058" w:type="dxa"/>
          </w:tcPr>
          <w:p w:rsidR="00804BF8" w:rsidRDefault="00804BF8" w:rsidP="00804BF8">
            <w:pPr>
              <w:rPr>
                <w:szCs w:val="24"/>
              </w:rPr>
            </w:pPr>
            <w:r>
              <w:rPr>
                <w:szCs w:val="24"/>
              </w:rPr>
              <w:t>Other</w:t>
            </w:r>
          </w:p>
        </w:tc>
        <w:tc>
          <w:tcPr>
            <w:tcW w:w="1559" w:type="dxa"/>
            <w:tcBorders>
              <w:bottom w:val="single" w:sz="18" w:space="0" w:color="auto"/>
            </w:tcBorders>
          </w:tcPr>
          <w:p w:rsidR="00804BF8" w:rsidRPr="007A07AD" w:rsidRDefault="00804BF8" w:rsidP="00804BF8">
            <w:pPr>
              <w:jc w:val="right"/>
              <w:rPr>
                <w:szCs w:val="24"/>
              </w:rPr>
            </w:pPr>
            <w:r>
              <w:rPr>
                <w:szCs w:val="24"/>
              </w:rPr>
              <w:t>4.5</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bottom w:val="single" w:sz="18" w:space="0" w:color="auto"/>
            </w:tcBorders>
          </w:tcPr>
          <w:p w:rsidR="00804BF8" w:rsidRDefault="00804BF8" w:rsidP="00804BF8">
            <w:pPr>
              <w:jc w:val="right"/>
              <w:rPr>
                <w:szCs w:val="24"/>
              </w:rPr>
            </w:pPr>
            <w:r>
              <w:rPr>
                <w:szCs w:val="24"/>
              </w:rPr>
              <w:t>9.6</w:t>
            </w:r>
          </w:p>
        </w:tc>
      </w:tr>
      <w:tr w:rsidR="00804BF8" w:rsidRPr="007A07AD" w:rsidTr="004B380D">
        <w:tc>
          <w:tcPr>
            <w:tcW w:w="5058" w:type="dxa"/>
          </w:tcPr>
          <w:p w:rsidR="00804BF8" w:rsidRDefault="00804BF8" w:rsidP="00804BF8">
            <w:pPr>
              <w:rPr>
                <w:szCs w:val="24"/>
              </w:rPr>
            </w:pPr>
          </w:p>
        </w:tc>
        <w:tc>
          <w:tcPr>
            <w:tcW w:w="1559" w:type="dxa"/>
            <w:tcBorders>
              <w:top w:val="single" w:sz="18" w:space="0" w:color="auto"/>
              <w:bottom w:val="single" w:sz="18" w:space="0" w:color="auto"/>
            </w:tcBorders>
          </w:tcPr>
          <w:p w:rsidR="00804BF8" w:rsidRPr="007A07AD" w:rsidRDefault="00804BF8" w:rsidP="00804BF8">
            <w:pPr>
              <w:jc w:val="right"/>
              <w:rPr>
                <w:szCs w:val="24"/>
              </w:rPr>
            </w:pPr>
            <w:r>
              <w:rPr>
                <w:szCs w:val="24"/>
              </w:rPr>
              <w:t>123.9</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top w:val="single" w:sz="18" w:space="0" w:color="auto"/>
              <w:left w:val="single" w:sz="4" w:space="0" w:color="FFFFFF" w:themeColor="background1"/>
              <w:bottom w:val="single" w:sz="18" w:space="0" w:color="auto"/>
            </w:tcBorders>
          </w:tcPr>
          <w:p w:rsidR="00804BF8" w:rsidRDefault="00804BF8" w:rsidP="00804BF8">
            <w:pPr>
              <w:jc w:val="right"/>
              <w:rPr>
                <w:szCs w:val="24"/>
              </w:rPr>
            </w:pPr>
            <w:r>
              <w:rPr>
                <w:szCs w:val="24"/>
              </w:rPr>
              <w:t>118.8</w:t>
            </w:r>
          </w:p>
        </w:tc>
      </w:tr>
      <w:tr w:rsidR="005D21A6" w:rsidRPr="007A07AD" w:rsidTr="004B380D">
        <w:tc>
          <w:tcPr>
            <w:tcW w:w="5058" w:type="dxa"/>
          </w:tcPr>
          <w:p w:rsidR="005D21A6" w:rsidRDefault="005D21A6" w:rsidP="00804BF8">
            <w:pPr>
              <w:rPr>
                <w:szCs w:val="24"/>
              </w:rPr>
            </w:pPr>
          </w:p>
        </w:tc>
        <w:tc>
          <w:tcPr>
            <w:tcW w:w="1559" w:type="dxa"/>
          </w:tcPr>
          <w:p w:rsidR="005D21A6" w:rsidRDefault="005D21A6" w:rsidP="00804BF8">
            <w:pPr>
              <w:jc w:val="right"/>
              <w:rPr>
                <w:szCs w:val="24"/>
              </w:rPr>
            </w:pPr>
          </w:p>
        </w:tc>
        <w:tc>
          <w:tcPr>
            <w:tcW w:w="430" w:type="dxa"/>
          </w:tcPr>
          <w:p w:rsidR="005D21A6" w:rsidRPr="007A07AD" w:rsidRDefault="005D21A6" w:rsidP="00804BF8">
            <w:pPr>
              <w:jc w:val="right"/>
              <w:rPr>
                <w:szCs w:val="24"/>
              </w:rPr>
            </w:pPr>
          </w:p>
        </w:tc>
        <w:tc>
          <w:tcPr>
            <w:tcW w:w="1696" w:type="dxa"/>
          </w:tcPr>
          <w:p w:rsidR="005D21A6" w:rsidRDefault="005D21A6" w:rsidP="00804BF8">
            <w:pPr>
              <w:jc w:val="right"/>
              <w:rPr>
                <w:szCs w:val="24"/>
              </w:rPr>
            </w:pPr>
          </w:p>
        </w:tc>
      </w:tr>
    </w:tbl>
    <w:p w:rsidR="00804BF8" w:rsidRDefault="00804BF8" w:rsidP="00804BF8">
      <w:pPr>
        <w:spacing w:after="120"/>
        <w:rPr>
          <w:szCs w:val="24"/>
        </w:rPr>
      </w:pPr>
    </w:p>
    <w:p w:rsidR="004B380D" w:rsidRDefault="004B380D" w:rsidP="00804BF8">
      <w:pPr>
        <w:spacing w:after="120"/>
        <w:rPr>
          <w:szCs w:val="24"/>
        </w:rPr>
      </w:pPr>
    </w:p>
    <w:p w:rsidR="00897DBF" w:rsidRDefault="00804BF8">
      <w:pPr>
        <w:pStyle w:val="BodyTextIndent"/>
        <w:numPr>
          <w:ilvl w:val="0"/>
          <w:numId w:val="2"/>
        </w:numPr>
        <w:tabs>
          <w:tab w:val="clear" w:pos="1080"/>
        </w:tabs>
        <w:spacing w:after="0"/>
        <w:ind w:left="862"/>
        <w:rPr>
          <w:b/>
          <w:szCs w:val="24"/>
        </w:rPr>
      </w:pPr>
      <w:r w:rsidRPr="00661385">
        <w:rPr>
          <w:b/>
          <w:szCs w:val="24"/>
        </w:rPr>
        <w:t>Net rents from Properties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804BF8" w:rsidTr="00804BF8">
        <w:tc>
          <w:tcPr>
            <w:tcW w:w="5058" w:type="dxa"/>
          </w:tcPr>
          <w:p w:rsidR="00804BF8" w:rsidRDefault="00804BF8" w:rsidP="00804BF8">
            <w:pPr>
              <w:rPr>
                <w:b/>
                <w:szCs w:val="24"/>
              </w:rPr>
            </w:pPr>
          </w:p>
        </w:tc>
        <w:tc>
          <w:tcPr>
            <w:tcW w:w="1559" w:type="dxa"/>
          </w:tcPr>
          <w:p w:rsidR="00804BF8" w:rsidRDefault="00804BF8" w:rsidP="00804BF8">
            <w:pPr>
              <w:jc w:val="right"/>
              <w:rPr>
                <w:b/>
                <w:szCs w:val="24"/>
              </w:rPr>
            </w:pPr>
            <w:r>
              <w:rPr>
                <w:b/>
                <w:szCs w:val="24"/>
              </w:rPr>
              <w:t>2012/13</w:t>
            </w:r>
          </w:p>
          <w:p w:rsidR="00804BF8" w:rsidRDefault="00804BF8" w:rsidP="00804BF8">
            <w:pPr>
              <w:jc w:val="right"/>
              <w:rPr>
                <w:b/>
                <w:szCs w:val="24"/>
              </w:rPr>
            </w:pPr>
            <w:r>
              <w:rPr>
                <w:b/>
                <w:szCs w:val="24"/>
              </w:rPr>
              <w:t>£m</w:t>
            </w:r>
          </w:p>
        </w:tc>
        <w:tc>
          <w:tcPr>
            <w:tcW w:w="430" w:type="dxa"/>
            <w:tcBorders>
              <w:right w:val="single" w:sz="4" w:space="0" w:color="FFFFFF" w:themeColor="background1"/>
            </w:tcBorders>
          </w:tcPr>
          <w:p w:rsidR="00804BF8" w:rsidRDefault="00804BF8" w:rsidP="00804BF8">
            <w:pPr>
              <w:jc w:val="right"/>
              <w:rPr>
                <w:b/>
                <w:szCs w:val="24"/>
              </w:rPr>
            </w:pPr>
          </w:p>
          <w:p w:rsidR="00804BF8" w:rsidRDefault="00804BF8" w:rsidP="00804BF8">
            <w:pPr>
              <w:jc w:val="right"/>
              <w:rPr>
                <w:b/>
                <w:szCs w:val="24"/>
              </w:rPr>
            </w:pPr>
          </w:p>
        </w:tc>
        <w:tc>
          <w:tcPr>
            <w:tcW w:w="1696" w:type="dxa"/>
            <w:tcBorders>
              <w:left w:val="single" w:sz="4" w:space="0" w:color="FFFFFF" w:themeColor="background1"/>
            </w:tcBorders>
          </w:tcPr>
          <w:p w:rsidR="00804BF8" w:rsidRDefault="00804BF8" w:rsidP="00804BF8">
            <w:pPr>
              <w:jc w:val="right"/>
              <w:rPr>
                <w:b/>
                <w:szCs w:val="24"/>
              </w:rPr>
            </w:pPr>
            <w:r>
              <w:rPr>
                <w:b/>
                <w:szCs w:val="24"/>
              </w:rPr>
              <w:t>2011/12</w:t>
            </w:r>
          </w:p>
          <w:p w:rsidR="00804BF8" w:rsidRDefault="00804BF8" w:rsidP="00804BF8">
            <w:pPr>
              <w:jc w:val="right"/>
              <w:rPr>
                <w:b/>
                <w:szCs w:val="24"/>
              </w:rPr>
            </w:pPr>
            <w:r>
              <w:rPr>
                <w:b/>
                <w:szCs w:val="24"/>
              </w:rPr>
              <w:t>£m</w:t>
            </w:r>
          </w:p>
          <w:p w:rsidR="00804BF8" w:rsidRDefault="00804BF8" w:rsidP="00804BF8">
            <w:pPr>
              <w:jc w:val="right"/>
              <w:rPr>
                <w:b/>
                <w:szCs w:val="24"/>
              </w:rPr>
            </w:pPr>
          </w:p>
        </w:tc>
      </w:tr>
      <w:tr w:rsidR="00804BF8" w:rsidRPr="007A07AD" w:rsidTr="00804BF8">
        <w:tc>
          <w:tcPr>
            <w:tcW w:w="5058" w:type="dxa"/>
          </w:tcPr>
          <w:p w:rsidR="00804BF8" w:rsidRPr="007A07AD" w:rsidRDefault="00804BF8" w:rsidP="00804BF8">
            <w:pPr>
              <w:rPr>
                <w:szCs w:val="24"/>
              </w:rPr>
            </w:pPr>
            <w:r>
              <w:rPr>
                <w:szCs w:val="24"/>
              </w:rPr>
              <w:t>Rental Income</w:t>
            </w:r>
          </w:p>
        </w:tc>
        <w:tc>
          <w:tcPr>
            <w:tcW w:w="1559" w:type="dxa"/>
          </w:tcPr>
          <w:p w:rsidR="00804BF8" w:rsidRPr="007A07AD" w:rsidRDefault="00804BF8" w:rsidP="00804BF8">
            <w:pPr>
              <w:jc w:val="right"/>
              <w:rPr>
                <w:szCs w:val="24"/>
              </w:rPr>
            </w:pPr>
            <w:r>
              <w:rPr>
                <w:szCs w:val="24"/>
              </w:rPr>
              <w:t>28.1</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tcBorders>
          </w:tcPr>
          <w:p w:rsidR="00804BF8" w:rsidRPr="007A07AD" w:rsidRDefault="00804BF8" w:rsidP="00804BF8">
            <w:pPr>
              <w:jc w:val="right"/>
              <w:rPr>
                <w:szCs w:val="24"/>
              </w:rPr>
            </w:pPr>
            <w:r>
              <w:rPr>
                <w:szCs w:val="24"/>
              </w:rPr>
              <w:t>26.0</w:t>
            </w:r>
          </w:p>
        </w:tc>
      </w:tr>
      <w:tr w:rsidR="00804BF8" w:rsidRPr="007A07AD" w:rsidTr="00804BF8">
        <w:tc>
          <w:tcPr>
            <w:tcW w:w="5058" w:type="dxa"/>
          </w:tcPr>
          <w:p w:rsidR="00804BF8" w:rsidRDefault="00804BF8" w:rsidP="00804BF8">
            <w:pPr>
              <w:rPr>
                <w:szCs w:val="24"/>
              </w:rPr>
            </w:pPr>
            <w:r>
              <w:rPr>
                <w:szCs w:val="24"/>
              </w:rPr>
              <w:t>Direct operating expenses</w:t>
            </w:r>
          </w:p>
        </w:tc>
        <w:tc>
          <w:tcPr>
            <w:tcW w:w="1559" w:type="dxa"/>
            <w:tcBorders>
              <w:bottom w:val="single" w:sz="18" w:space="0" w:color="auto"/>
            </w:tcBorders>
          </w:tcPr>
          <w:p w:rsidR="00804BF8" w:rsidRPr="007A07AD" w:rsidRDefault="00804BF8" w:rsidP="00804BF8">
            <w:pPr>
              <w:jc w:val="right"/>
              <w:rPr>
                <w:szCs w:val="24"/>
              </w:rPr>
            </w:pPr>
            <w:r>
              <w:rPr>
                <w:szCs w:val="24"/>
              </w:rPr>
              <w:t>(3.1)</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left w:val="single" w:sz="4" w:space="0" w:color="FFFFFF" w:themeColor="background1"/>
              <w:bottom w:val="single" w:sz="18" w:space="0" w:color="auto"/>
            </w:tcBorders>
          </w:tcPr>
          <w:p w:rsidR="00804BF8" w:rsidRPr="007A07AD" w:rsidRDefault="00804BF8" w:rsidP="00804BF8">
            <w:pPr>
              <w:jc w:val="right"/>
              <w:rPr>
                <w:szCs w:val="24"/>
              </w:rPr>
            </w:pPr>
            <w:r>
              <w:rPr>
                <w:szCs w:val="24"/>
              </w:rPr>
              <w:t>(1.2)</w:t>
            </w:r>
          </w:p>
        </w:tc>
      </w:tr>
      <w:tr w:rsidR="00804BF8" w:rsidRPr="007A07AD" w:rsidTr="004B380D">
        <w:tc>
          <w:tcPr>
            <w:tcW w:w="5058" w:type="dxa"/>
          </w:tcPr>
          <w:p w:rsidR="00804BF8" w:rsidRDefault="00804BF8" w:rsidP="00804BF8">
            <w:pPr>
              <w:rPr>
                <w:szCs w:val="24"/>
              </w:rPr>
            </w:pPr>
            <w:r>
              <w:rPr>
                <w:szCs w:val="24"/>
              </w:rPr>
              <w:t>Net income</w:t>
            </w:r>
          </w:p>
        </w:tc>
        <w:tc>
          <w:tcPr>
            <w:tcW w:w="1559" w:type="dxa"/>
            <w:tcBorders>
              <w:top w:val="single" w:sz="18" w:space="0" w:color="auto"/>
              <w:bottom w:val="single" w:sz="18" w:space="0" w:color="auto"/>
            </w:tcBorders>
          </w:tcPr>
          <w:p w:rsidR="00804BF8" w:rsidRPr="007A07AD" w:rsidRDefault="00804BF8" w:rsidP="00804BF8">
            <w:pPr>
              <w:jc w:val="right"/>
              <w:rPr>
                <w:szCs w:val="24"/>
              </w:rPr>
            </w:pPr>
            <w:r>
              <w:rPr>
                <w:szCs w:val="24"/>
              </w:rPr>
              <w:t>25.0</w:t>
            </w:r>
          </w:p>
        </w:tc>
        <w:tc>
          <w:tcPr>
            <w:tcW w:w="430" w:type="dxa"/>
            <w:tcBorders>
              <w:right w:val="single" w:sz="4" w:space="0" w:color="FFFFFF" w:themeColor="background1"/>
            </w:tcBorders>
          </w:tcPr>
          <w:p w:rsidR="00804BF8" w:rsidRPr="007A07AD" w:rsidRDefault="00804BF8" w:rsidP="00804BF8">
            <w:pPr>
              <w:jc w:val="right"/>
              <w:rPr>
                <w:szCs w:val="24"/>
              </w:rPr>
            </w:pPr>
          </w:p>
        </w:tc>
        <w:tc>
          <w:tcPr>
            <w:tcW w:w="1696" w:type="dxa"/>
            <w:tcBorders>
              <w:top w:val="single" w:sz="18" w:space="0" w:color="auto"/>
              <w:left w:val="single" w:sz="4" w:space="0" w:color="FFFFFF" w:themeColor="background1"/>
              <w:bottom w:val="single" w:sz="18" w:space="0" w:color="auto"/>
            </w:tcBorders>
          </w:tcPr>
          <w:p w:rsidR="00804BF8" w:rsidRPr="007A07AD" w:rsidRDefault="00804BF8" w:rsidP="00804BF8">
            <w:pPr>
              <w:jc w:val="right"/>
              <w:rPr>
                <w:szCs w:val="24"/>
              </w:rPr>
            </w:pPr>
            <w:r>
              <w:rPr>
                <w:szCs w:val="24"/>
              </w:rPr>
              <w:t>24.8</w:t>
            </w:r>
          </w:p>
        </w:tc>
      </w:tr>
      <w:tr w:rsidR="001428E6" w:rsidRPr="007A07AD" w:rsidTr="004B380D">
        <w:tc>
          <w:tcPr>
            <w:tcW w:w="5058" w:type="dxa"/>
          </w:tcPr>
          <w:p w:rsidR="001428E6" w:rsidRDefault="001428E6" w:rsidP="00804BF8">
            <w:pPr>
              <w:rPr>
                <w:szCs w:val="24"/>
              </w:rPr>
            </w:pPr>
          </w:p>
        </w:tc>
        <w:tc>
          <w:tcPr>
            <w:tcW w:w="1559" w:type="dxa"/>
            <w:tcBorders>
              <w:top w:val="single" w:sz="18" w:space="0" w:color="auto"/>
            </w:tcBorders>
          </w:tcPr>
          <w:p w:rsidR="001428E6" w:rsidRDefault="001428E6" w:rsidP="00804BF8">
            <w:pPr>
              <w:jc w:val="right"/>
              <w:rPr>
                <w:szCs w:val="24"/>
              </w:rPr>
            </w:pPr>
          </w:p>
        </w:tc>
        <w:tc>
          <w:tcPr>
            <w:tcW w:w="430" w:type="dxa"/>
          </w:tcPr>
          <w:p w:rsidR="001428E6" w:rsidRPr="007A07AD" w:rsidRDefault="001428E6" w:rsidP="00804BF8">
            <w:pPr>
              <w:jc w:val="right"/>
              <w:rPr>
                <w:szCs w:val="24"/>
              </w:rPr>
            </w:pPr>
          </w:p>
        </w:tc>
        <w:tc>
          <w:tcPr>
            <w:tcW w:w="1696" w:type="dxa"/>
            <w:tcBorders>
              <w:top w:val="single" w:sz="18" w:space="0" w:color="auto"/>
            </w:tcBorders>
          </w:tcPr>
          <w:p w:rsidR="001428E6" w:rsidRDefault="001428E6" w:rsidP="00804BF8">
            <w:pPr>
              <w:jc w:val="right"/>
              <w:rPr>
                <w:szCs w:val="24"/>
              </w:rPr>
            </w:pPr>
          </w:p>
        </w:tc>
      </w:tr>
    </w:tbl>
    <w:p w:rsidR="00804BF8" w:rsidRPr="00782127" w:rsidRDefault="00804BF8" w:rsidP="00804BF8">
      <w:pPr>
        <w:pStyle w:val="BodyTextIndent"/>
        <w:tabs>
          <w:tab w:val="clear" w:pos="1080"/>
        </w:tabs>
        <w:spacing w:after="0"/>
        <w:rPr>
          <w:b/>
          <w:szCs w:val="24"/>
        </w:rPr>
      </w:pPr>
    </w:p>
    <w:p w:rsidR="002E5FF6" w:rsidRDefault="002E5FF6" w:rsidP="00804BF8">
      <w:pPr>
        <w:rPr>
          <w:szCs w:val="24"/>
        </w:rPr>
      </w:pPr>
    </w:p>
    <w:p w:rsidR="004B380D" w:rsidRDefault="004B380D" w:rsidP="00804BF8">
      <w:pPr>
        <w:rPr>
          <w:szCs w:val="24"/>
        </w:rPr>
      </w:pPr>
    </w:p>
    <w:p w:rsidR="00897DBF" w:rsidRDefault="002E5FF6">
      <w:pPr>
        <w:numPr>
          <w:ilvl w:val="0"/>
          <w:numId w:val="2"/>
        </w:numPr>
        <w:spacing w:after="240"/>
        <w:rPr>
          <w:szCs w:val="24"/>
        </w:rPr>
      </w:pPr>
      <w:r w:rsidRPr="00D81C00">
        <w:rPr>
          <w:b/>
          <w:szCs w:val="24"/>
        </w:rPr>
        <w:t>Stock Lending</w:t>
      </w:r>
    </w:p>
    <w:p w:rsidR="002E5FF6" w:rsidRPr="000E3E54" w:rsidRDefault="002E5FF6" w:rsidP="002E5FF6">
      <w:pPr>
        <w:pStyle w:val="BodyTextIndent"/>
        <w:ind w:left="709"/>
        <w:rPr>
          <w:szCs w:val="24"/>
        </w:rPr>
      </w:pPr>
      <w:r w:rsidRPr="00B6433E">
        <w:rPr>
          <w:szCs w:val="24"/>
        </w:rPr>
        <w:t xml:space="preserve">Northern Trust </w:t>
      </w:r>
      <w:r>
        <w:rPr>
          <w:szCs w:val="24"/>
        </w:rPr>
        <w:t>the Fund's custodian, are</w:t>
      </w:r>
      <w:r w:rsidRPr="00B6433E">
        <w:rPr>
          <w:szCs w:val="24"/>
        </w:rPr>
        <w:t xml:space="preserve"> authorised to release stock to a third party under stock lending arrangements up to the statutory limits for this activity.  Stock lending income generated in 201</w:t>
      </w:r>
      <w:r>
        <w:rPr>
          <w:szCs w:val="24"/>
        </w:rPr>
        <w:t>2</w:t>
      </w:r>
      <w:r w:rsidRPr="00B6433E">
        <w:rPr>
          <w:szCs w:val="24"/>
        </w:rPr>
        <w:t>/1</w:t>
      </w:r>
      <w:r>
        <w:rPr>
          <w:szCs w:val="24"/>
        </w:rPr>
        <w:t>3</w:t>
      </w:r>
      <w:r w:rsidRPr="00B6433E">
        <w:rPr>
          <w:szCs w:val="24"/>
        </w:rPr>
        <w:t xml:space="preserve"> was £</w:t>
      </w:r>
      <w:r>
        <w:rPr>
          <w:szCs w:val="24"/>
        </w:rPr>
        <w:t>643,034</w:t>
      </w:r>
      <w:r w:rsidRPr="00B6433E">
        <w:rPr>
          <w:szCs w:val="24"/>
        </w:rPr>
        <w:t xml:space="preserve"> (201</w:t>
      </w:r>
      <w:r>
        <w:rPr>
          <w:szCs w:val="24"/>
        </w:rPr>
        <w:t>1</w:t>
      </w:r>
      <w:r w:rsidRPr="00B6433E">
        <w:rPr>
          <w:szCs w:val="24"/>
        </w:rPr>
        <w:t>/1</w:t>
      </w:r>
      <w:r>
        <w:rPr>
          <w:szCs w:val="24"/>
        </w:rPr>
        <w:t>2</w:t>
      </w:r>
      <w:r w:rsidRPr="00B6433E">
        <w:rPr>
          <w:szCs w:val="24"/>
        </w:rPr>
        <w:t xml:space="preserve"> £</w:t>
      </w:r>
      <w:r>
        <w:rPr>
          <w:szCs w:val="24"/>
        </w:rPr>
        <w:t>467</w:t>
      </w:r>
      <w:r w:rsidRPr="00B6433E">
        <w:rPr>
          <w:szCs w:val="24"/>
        </w:rPr>
        <w:t>,</w:t>
      </w:r>
      <w:r>
        <w:rPr>
          <w:szCs w:val="24"/>
        </w:rPr>
        <w:t>745</w:t>
      </w:r>
      <w:r w:rsidRPr="00B6433E">
        <w:rPr>
          <w:szCs w:val="24"/>
        </w:rPr>
        <w:t>)</w:t>
      </w:r>
    </w:p>
    <w:p w:rsidR="002E5FF6" w:rsidRPr="00B6433E" w:rsidRDefault="002E5FF6" w:rsidP="002E5FF6">
      <w:pPr>
        <w:pStyle w:val="BodyTextIndent"/>
        <w:ind w:left="709"/>
        <w:rPr>
          <w:szCs w:val="24"/>
        </w:rPr>
      </w:pPr>
      <w:r w:rsidRPr="00B6433E">
        <w:rPr>
          <w:szCs w:val="24"/>
        </w:rPr>
        <w:t>Securities on loan at the 31</w:t>
      </w:r>
      <w:r w:rsidRPr="00B6433E">
        <w:rPr>
          <w:szCs w:val="24"/>
          <w:vertAlign w:val="superscript"/>
        </w:rPr>
        <w:t>st</w:t>
      </w:r>
      <w:r w:rsidRPr="00B6433E">
        <w:rPr>
          <w:szCs w:val="24"/>
        </w:rPr>
        <w:t xml:space="preserve"> March 201</w:t>
      </w:r>
      <w:r>
        <w:rPr>
          <w:szCs w:val="24"/>
        </w:rPr>
        <w:t>3</w:t>
      </w:r>
      <w:r w:rsidRPr="00B6433E">
        <w:rPr>
          <w:szCs w:val="24"/>
        </w:rPr>
        <w:t xml:space="preserve"> were £</w:t>
      </w:r>
      <w:r>
        <w:rPr>
          <w:szCs w:val="24"/>
        </w:rPr>
        <w:t>107.9</w:t>
      </w:r>
      <w:r w:rsidRPr="00B6433E">
        <w:rPr>
          <w:szCs w:val="24"/>
        </w:rPr>
        <w:t>m and are included in the net asset statement to reflect the scheme's continuing economic interest in the securities.  This consisted of £</w:t>
      </w:r>
      <w:r>
        <w:rPr>
          <w:szCs w:val="24"/>
        </w:rPr>
        <w:t>91.9</w:t>
      </w:r>
      <w:r w:rsidRPr="00B6433E">
        <w:rPr>
          <w:szCs w:val="24"/>
        </w:rPr>
        <w:t xml:space="preserve">m of </w:t>
      </w:r>
      <w:r w:rsidRPr="00D81C00">
        <w:rPr>
          <w:szCs w:val="24"/>
        </w:rPr>
        <w:t>equities</w:t>
      </w:r>
      <w:r w:rsidRPr="00B6433E">
        <w:rPr>
          <w:szCs w:val="24"/>
        </w:rPr>
        <w:t xml:space="preserve"> and £</w:t>
      </w:r>
      <w:r>
        <w:rPr>
          <w:szCs w:val="24"/>
        </w:rPr>
        <w:t>16</w:t>
      </w:r>
      <w:r w:rsidRPr="00B6433E">
        <w:rPr>
          <w:szCs w:val="24"/>
        </w:rPr>
        <w:t xml:space="preserve">m of </w:t>
      </w:r>
      <w:r w:rsidRPr="00D81C00">
        <w:rPr>
          <w:szCs w:val="24"/>
        </w:rPr>
        <w:t>bonds</w:t>
      </w:r>
      <w:r w:rsidRPr="00B6433E">
        <w:rPr>
          <w:szCs w:val="24"/>
        </w:rPr>
        <w:t>.</w:t>
      </w:r>
    </w:p>
    <w:p w:rsidR="002E5FF6" w:rsidRDefault="002E5FF6" w:rsidP="002E5FF6">
      <w:pPr>
        <w:pStyle w:val="BodyTextIndent"/>
        <w:ind w:left="709"/>
        <w:rPr>
          <w:szCs w:val="24"/>
        </w:rPr>
      </w:pPr>
      <w:r w:rsidRPr="00B6433E">
        <w:rPr>
          <w:szCs w:val="24"/>
        </w:rPr>
        <w:t xml:space="preserve">Collateral is marked to market, and adjusted daily. </w:t>
      </w:r>
      <w:r>
        <w:rPr>
          <w:szCs w:val="24"/>
        </w:rPr>
        <w:t xml:space="preserve">Additional collateral of between 2% and 5% is requested as an additional measure of industry standard practice to mitigate risk. </w:t>
      </w:r>
      <w:r w:rsidRPr="00B6433E">
        <w:rPr>
          <w:szCs w:val="24"/>
        </w:rPr>
        <w:t xml:space="preserve">As the Fund has </w:t>
      </w:r>
      <w:r w:rsidR="00B116FD">
        <w:rPr>
          <w:szCs w:val="24"/>
        </w:rPr>
        <w:t>an</w:t>
      </w:r>
      <w:r w:rsidRPr="00B6433E">
        <w:rPr>
          <w:szCs w:val="24"/>
        </w:rPr>
        <w:t xml:space="preserve"> obligation to return the collateral to the borrowers, collateral is excluded from the Fund valuation. The collateral is non cash and totalled £</w:t>
      </w:r>
      <w:r>
        <w:rPr>
          <w:szCs w:val="24"/>
        </w:rPr>
        <w:t>116.6</w:t>
      </w:r>
      <w:r w:rsidRPr="00B6433E">
        <w:rPr>
          <w:szCs w:val="24"/>
        </w:rPr>
        <w:t xml:space="preserve">m of </w:t>
      </w:r>
      <w:r w:rsidRPr="00D81C00">
        <w:rPr>
          <w:szCs w:val="24"/>
        </w:rPr>
        <w:t>government bonds</w:t>
      </w:r>
      <w:r w:rsidRPr="00B6433E">
        <w:rPr>
          <w:szCs w:val="24"/>
        </w:rPr>
        <w:t>.</w:t>
      </w:r>
    </w:p>
    <w:p w:rsidR="001428E6" w:rsidRDefault="001428E6" w:rsidP="002E5FF6">
      <w:pPr>
        <w:pStyle w:val="BodyTextIndent"/>
        <w:ind w:left="709"/>
        <w:rPr>
          <w:szCs w:val="24"/>
        </w:rPr>
      </w:pPr>
    </w:p>
    <w:p w:rsidR="004B380D" w:rsidRDefault="004B380D" w:rsidP="002E5FF6">
      <w:pPr>
        <w:pStyle w:val="BodyTextIndent"/>
        <w:ind w:left="709"/>
        <w:rPr>
          <w:szCs w:val="24"/>
        </w:rPr>
      </w:pPr>
    </w:p>
    <w:p w:rsidR="004B380D" w:rsidRDefault="004B380D" w:rsidP="002E5FF6">
      <w:pPr>
        <w:pStyle w:val="BodyTextIndent"/>
        <w:ind w:left="709"/>
        <w:rPr>
          <w:szCs w:val="24"/>
        </w:rPr>
      </w:pPr>
    </w:p>
    <w:p w:rsidR="004B380D" w:rsidRDefault="004B380D" w:rsidP="002E5FF6">
      <w:pPr>
        <w:pStyle w:val="BodyTextIndent"/>
        <w:ind w:left="709"/>
        <w:rPr>
          <w:szCs w:val="24"/>
        </w:rPr>
      </w:pPr>
    </w:p>
    <w:p w:rsidR="004B380D" w:rsidRDefault="004B380D" w:rsidP="002E5FF6">
      <w:pPr>
        <w:pStyle w:val="BodyTextIndent"/>
        <w:ind w:left="709"/>
        <w:rPr>
          <w:szCs w:val="24"/>
        </w:rPr>
      </w:pPr>
    </w:p>
    <w:p w:rsidR="004B380D" w:rsidRDefault="004B380D" w:rsidP="002E5FF6">
      <w:pPr>
        <w:pStyle w:val="BodyTextIndent"/>
        <w:ind w:left="709"/>
        <w:rPr>
          <w:szCs w:val="24"/>
        </w:rPr>
      </w:pPr>
    </w:p>
    <w:p w:rsidR="004B380D" w:rsidRDefault="004B380D" w:rsidP="002E5FF6">
      <w:pPr>
        <w:pStyle w:val="BodyTextIndent"/>
        <w:ind w:left="709"/>
        <w:rPr>
          <w:szCs w:val="24"/>
        </w:rPr>
      </w:pPr>
    </w:p>
    <w:p w:rsidR="00897DBF" w:rsidRDefault="002E5FF6">
      <w:pPr>
        <w:pStyle w:val="ListParagraph"/>
        <w:numPr>
          <w:ilvl w:val="0"/>
          <w:numId w:val="2"/>
        </w:numPr>
        <w:spacing w:after="120"/>
        <w:ind w:left="862"/>
        <w:rPr>
          <w:b/>
        </w:rPr>
      </w:pPr>
      <w:r w:rsidRPr="009D3DE3">
        <w:rPr>
          <w:b/>
        </w:rPr>
        <w:lastRenderedPageBreak/>
        <w:t>Reconciliation of movements in investments and derivatives</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0"/>
        <w:gridCol w:w="279"/>
        <w:gridCol w:w="145"/>
        <w:gridCol w:w="992"/>
        <w:gridCol w:w="280"/>
        <w:gridCol w:w="147"/>
        <w:gridCol w:w="137"/>
        <w:gridCol w:w="284"/>
        <w:gridCol w:w="1138"/>
        <w:gridCol w:w="316"/>
        <w:gridCol w:w="136"/>
        <w:gridCol w:w="532"/>
        <w:gridCol w:w="872"/>
        <w:gridCol w:w="138"/>
        <w:gridCol w:w="714"/>
        <w:gridCol w:w="20"/>
        <w:gridCol w:w="689"/>
        <w:gridCol w:w="568"/>
        <w:gridCol w:w="851"/>
        <w:gridCol w:w="136"/>
        <w:gridCol w:w="6"/>
      </w:tblGrid>
      <w:tr w:rsidR="0079296C" w:rsidRPr="008B5FD4" w:rsidTr="006229C6">
        <w:tc>
          <w:tcPr>
            <w:tcW w:w="2360" w:type="dxa"/>
          </w:tcPr>
          <w:p w:rsidR="002E5FF6" w:rsidRPr="008B5FD4" w:rsidRDefault="002E5FF6" w:rsidP="005A5A4A">
            <w:pPr>
              <w:tabs>
                <w:tab w:val="left" w:pos="3544"/>
              </w:tabs>
              <w:rPr>
                <w:b/>
                <w:sz w:val="20"/>
              </w:rPr>
            </w:pPr>
          </w:p>
        </w:tc>
        <w:tc>
          <w:tcPr>
            <w:tcW w:w="1843" w:type="dxa"/>
            <w:gridSpan w:val="5"/>
          </w:tcPr>
          <w:p w:rsidR="002E5FF6" w:rsidRPr="008B5FD4" w:rsidRDefault="002E5FF6" w:rsidP="005A5A4A">
            <w:pPr>
              <w:tabs>
                <w:tab w:val="left" w:pos="3544"/>
              </w:tabs>
              <w:ind w:right="317"/>
              <w:jc w:val="right"/>
              <w:rPr>
                <w:b/>
                <w:sz w:val="20"/>
              </w:rPr>
            </w:pPr>
            <w:r w:rsidRPr="008B5FD4">
              <w:rPr>
                <w:b/>
                <w:sz w:val="20"/>
              </w:rPr>
              <w:t>Market Value at 1 April 201</w:t>
            </w:r>
            <w:r>
              <w:rPr>
                <w:b/>
                <w:sz w:val="20"/>
              </w:rPr>
              <w:t>2</w:t>
            </w:r>
          </w:p>
        </w:tc>
        <w:tc>
          <w:tcPr>
            <w:tcW w:w="1875" w:type="dxa"/>
            <w:gridSpan w:val="4"/>
          </w:tcPr>
          <w:p w:rsidR="00897DBF" w:rsidRDefault="002E5FF6">
            <w:pPr>
              <w:tabs>
                <w:tab w:val="left" w:pos="0"/>
                <w:tab w:val="left" w:pos="2728"/>
              </w:tabs>
              <w:ind w:left="-98" w:right="175"/>
              <w:jc w:val="right"/>
              <w:rPr>
                <w:b/>
                <w:sz w:val="20"/>
              </w:rPr>
            </w:pPr>
            <w:r w:rsidRPr="008B5FD4">
              <w:rPr>
                <w:b/>
                <w:sz w:val="20"/>
              </w:rPr>
              <w:t>Purchases at cost and derivative payments</w:t>
            </w:r>
          </w:p>
        </w:tc>
        <w:tc>
          <w:tcPr>
            <w:tcW w:w="1678" w:type="dxa"/>
            <w:gridSpan w:val="4"/>
          </w:tcPr>
          <w:p w:rsidR="002E5FF6" w:rsidRPr="008B5FD4" w:rsidRDefault="002E5FF6" w:rsidP="005A5A4A">
            <w:pPr>
              <w:tabs>
                <w:tab w:val="left" w:pos="3544"/>
              </w:tabs>
              <w:jc w:val="right"/>
              <w:rPr>
                <w:b/>
                <w:sz w:val="20"/>
              </w:rPr>
            </w:pPr>
            <w:r w:rsidRPr="008B5FD4">
              <w:rPr>
                <w:b/>
                <w:sz w:val="20"/>
              </w:rPr>
              <w:t>Sales proceeds and derivative receipts</w:t>
            </w:r>
          </w:p>
        </w:tc>
        <w:tc>
          <w:tcPr>
            <w:tcW w:w="1423" w:type="dxa"/>
            <w:gridSpan w:val="3"/>
          </w:tcPr>
          <w:p w:rsidR="002E5FF6" w:rsidRDefault="002E5FF6" w:rsidP="006229C6">
            <w:pPr>
              <w:tabs>
                <w:tab w:val="left" w:pos="3544"/>
              </w:tabs>
              <w:ind w:right="32"/>
              <w:jc w:val="right"/>
              <w:rPr>
                <w:b/>
                <w:sz w:val="20"/>
              </w:rPr>
            </w:pPr>
            <w:r w:rsidRPr="008B5FD4">
              <w:rPr>
                <w:b/>
                <w:sz w:val="20"/>
              </w:rPr>
              <w:t>Change in market</w:t>
            </w:r>
          </w:p>
          <w:p w:rsidR="002E5FF6" w:rsidRPr="008B5FD4" w:rsidRDefault="002E5FF6" w:rsidP="006229C6">
            <w:pPr>
              <w:tabs>
                <w:tab w:val="left" w:pos="3544"/>
              </w:tabs>
              <w:ind w:right="32"/>
              <w:jc w:val="right"/>
              <w:rPr>
                <w:b/>
                <w:sz w:val="20"/>
              </w:rPr>
            </w:pPr>
            <w:r w:rsidRPr="008B5FD4">
              <w:rPr>
                <w:b/>
                <w:sz w:val="20"/>
              </w:rPr>
              <w:t xml:space="preserve"> value</w:t>
            </w:r>
          </w:p>
        </w:tc>
        <w:tc>
          <w:tcPr>
            <w:tcW w:w="1561" w:type="dxa"/>
            <w:gridSpan w:val="4"/>
          </w:tcPr>
          <w:p w:rsidR="002E5FF6" w:rsidRDefault="002E5FF6" w:rsidP="005A5A4A">
            <w:pPr>
              <w:tabs>
                <w:tab w:val="left" w:pos="3544"/>
              </w:tabs>
              <w:jc w:val="right"/>
              <w:rPr>
                <w:b/>
                <w:sz w:val="20"/>
              </w:rPr>
            </w:pPr>
            <w:r w:rsidRPr="008B5FD4">
              <w:rPr>
                <w:b/>
                <w:sz w:val="20"/>
              </w:rPr>
              <w:t xml:space="preserve">Market value at 31 March </w:t>
            </w:r>
          </w:p>
          <w:p w:rsidR="002E5FF6" w:rsidRPr="008B5FD4" w:rsidRDefault="002E5FF6" w:rsidP="005A5A4A">
            <w:pPr>
              <w:tabs>
                <w:tab w:val="left" w:pos="3544"/>
              </w:tabs>
              <w:jc w:val="right"/>
              <w:rPr>
                <w:b/>
                <w:sz w:val="20"/>
              </w:rPr>
            </w:pPr>
            <w:r w:rsidRPr="008B5FD4">
              <w:rPr>
                <w:b/>
                <w:sz w:val="20"/>
              </w:rPr>
              <w:t>201</w:t>
            </w:r>
            <w:r>
              <w:rPr>
                <w:b/>
                <w:sz w:val="20"/>
              </w:rPr>
              <w:t>3</w:t>
            </w:r>
          </w:p>
        </w:tc>
      </w:tr>
      <w:tr w:rsidR="0079296C" w:rsidRPr="008B5FD4" w:rsidTr="006229C6">
        <w:trPr>
          <w:gridAfter w:val="1"/>
          <w:wAfter w:w="6" w:type="dxa"/>
        </w:trPr>
        <w:tc>
          <w:tcPr>
            <w:tcW w:w="2360" w:type="dxa"/>
          </w:tcPr>
          <w:p w:rsidR="002E5FF6" w:rsidRPr="008B5FD4" w:rsidRDefault="002E5FF6" w:rsidP="005A5A4A">
            <w:pPr>
              <w:tabs>
                <w:tab w:val="left" w:pos="3544"/>
              </w:tabs>
              <w:rPr>
                <w:b/>
                <w:sz w:val="20"/>
              </w:rPr>
            </w:pPr>
          </w:p>
        </w:tc>
        <w:tc>
          <w:tcPr>
            <w:tcW w:w="279" w:type="dxa"/>
            <w:tcBorders>
              <w:right w:val="single" w:sz="18" w:space="0" w:color="FFFFFF" w:themeColor="background1"/>
            </w:tcBorders>
          </w:tcPr>
          <w:p w:rsidR="002E5FF6" w:rsidRPr="008B5FD4" w:rsidRDefault="002E5FF6" w:rsidP="005A5A4A">
            <w:pPr>
              <w:tabs>
                <w:tab w:val="left" w:pos="3544"/>
              </w:tabs>
              <w:jc w:val="right"/>
              <w:rPr>
                <w:b/>
                <w:sz w:val="20"/>
              </w:rPr>
            </w:pPr>
          </w:p>
        </w:tc>
        <w:tc>
          <w:tcPr>
            <w:tcW w:w="1417" w:type="dxa"/>
            <w:gridSpan w:val="3"/>
            <w:tcBorders>
              <w:left w:val="single" w:sz="18" w:space="0" w:color="FFFFFF" w:themeColor="background1"/>
            </w:tcBorders>
          </w:tcPr>
          <w:p w:rsidR="00897DBF" w:rsidRDefault="002E5FF6">
            <w:pPr>
              <w:tabs>
                <w:tab w:val="left" w:pos="3544"/>
              </w:tabs>
              <w:ind w:left="-392" w:right="239"/>
              <w:jc w:val="right"/>
              <w:rPr>
                <w:b/>
                <w:sz w:val="20"/>
              </w:rPr>
            </w:pPr>
            <w:r w:rsidRPr="008B5FD4">
              <w:rPr>
                <w:b/>
                <w:sz w:val="20"/>
              </w:rPr>
              <w:t>£m</w:t>
            </w:r>
          </w:p>
        </w:tc>
        <w:tc>
          <w:tcPr>
            <w:tcW w:w="568" w:type="dxa"/>
            <w:gridSpan w:val="3"/>
            <w:tcBorders>
              <w:right w:val="single" w:sz="18" w:space="0" w:color="FFFFFF" w:themeColor="background1"/>
            </w:tcBorders>
          </w:tcPr>
          <w:p w:rsidR="002E5FF6" w:rsidRPr="008B5FD4" w:rsidRDefault="002E5FF6" w:rsidP="005A5A4A">
            <w:pPr>
              <w:tabs>
                <w:tab w:val="left" w:pos="3544"/>
              </w:tabs>
              <w:jc w:val="right"/>
              <w:rPr>
                <w:b/>
                <w:sz w:val="20"/>
              </w:rPr>
            </w:pPr>
          </w:p>
        </w:tc>
        <w:tc>
          <w:tcPr>
            <w:tcW w:w="1590" w:type="dxa"/>
            <w:gridSpan w:val="3"/>
            <w:tcBorders>
              <w:left w:val="single" w:sz="18" w:space="0" w:color="FFFFFF" w:themeColor="background1"/>
            </w:tcBorders>
          </w:tcPr>
          <w:p w:rsidR="00897DBF" w:rsidRDefault="002E5FF6">
            <w:pPr>
              <w:tabs>
                <w:tab w:val="left" w:pos="2728"/>
              </w:tabs>
              <w:ind w:right="317"/>
              <w:jc w:val="right"/>
              <w:rPr>
                <w:b/>
                <w:sz w:val="20"/>
              </w:rPr>
            </w:pPr>
            <w:r w:rsidRPr="008B5FD4">
              <w:rPr>
                <w:b/>
                <w:sz w:val="20"/>
              </w:rPr>
              <w:t>£</w:t>
            </w:r>
            <w:r>
              <w:rPr>
                <w:b/>
                <w:sz w:val="20"/>
              </w:rPr>
              <w:t>m</w:t>
            </w:r>
          </w:p>
        </w:tc>
        <w:tc>
          <w:tcPr>
            <w:tcW w:w="1404" w:type="dxa"/>
            <w:gridSpan w:val="2"/>
          </w:tcPr>
          <w:p w:rsidR="002E5FF6" w:rsidRPr="008B5FD4" w:rsidRDefault="002E5FF6" w:rsidP="005A5A4A">
            <w:pPr>
              <w:tabs>
                <w:tab w:val="left" w:pos="3544"/>
              </w:tabs>
              <w:jc w:val="right"/>
              <w:rPr>
                <w:b/>
                <w:sz w:val="20"/>
              </w:rPr>
            </w:pPr>
            <w:r w:rsidRPr="008B5FD4">
              <w:rPr>
                <w:b/>
                <w:sz w:val="20"/>
              </w:rPr>
              <w:t>£m</w:t>
            </w:r>
          </w:p>
        </w:tc>
        <w:tc>
          <w:tcPr>
            <w:tcW w:w="1561" w:type="dxa"/>
            <w:gridSpan w:val="4"/>
          </w:tcPr>
          <w:p w:rsidR="002E5FF6" w:rsidRPr="008B5FD4" w:rsidRDefault="002E5FF6" w:rsidP="005A5A4A">
            <w:pPr>
              <w:tabs>
                <w:tab w:val="left" w:pos="3544"/>
              </w:tabs>
              <w:jc w:val="right"/>
              <w:rPr>
                <w:b/>
                <w:sz w:val="20"/>
              </w:rPr>
            </w:pPr>
            <w:r w:rsidRPr="008B5FD4">
              <w:rPr>
                <w:b/>
                <w:sz w:val="20"/>
              </w:rPr>
              <w:t>£m</w:t>
            </w:r>
          </w:p>
        </w:tc>
        <w:tc>
          <w:tcPr>
            <w:tcW w:w="1555" w:type="dxa"/>
            <w:gridSpan w:val="3"/>
          </w:tcPr>
          <w:p w:rsidR="002E5FF6" w:rsidRDefault="002E5FF6" w:rsidP="005A5A4A">
            <w:pPr>
              <w:tabs>
                <w:tab w:val="left" w:pos="3544"/>
              </w:tabs>
              <w:jc w:val="right"/>
              <w:rPr>
                <w:b/>
                <w:sz w:val="20"/>
              </w:rPr>
            </w:pPr>
            <w:r w:rsidRPr="008B5FD4">
              <w:rPr>
                <w:b/>
                <w:sz w:val="20"/>
              </w:rPr>
              <w:t>£m</w:t>
            </w:r>
          </w:p>
          <w:p w:rsidR="002E5FF6" w:rsidRPr="008B5FD4" w:rsidRDefault="002E5FF6" w:rsidP="005A5A4A">
            <w:pPr>
              <w:tabs>
                <w:tab w:val="left" w:pos="3544"/>
              </w:tabs>
              <w:jc w:val="right"/>
              <w:rPr>
                <w:b/>
                <w:sz w:val="20"/>
              </w:rPr>
            </w:pPr>
          </w:p>
        </w:tc>
      </w:tr>
      <w:tr w:rsidR="0079296C" w:rsidRPr="000E6955" w:rsidTr="006229C6">
        <w:trPr>
          <w:gridAfter w:val="1"/>
          <w:wAfter w:w="6" w:type="dxa"/>
          <w:trHeight w:val="170"/>
        </w:trPr>
        <w:tc>
          <w:tcPr>
            <w:tcW w:w="2360" w:type="dxa"/>
          </w:tcPr>
          <w:p w:rsidR="002E5FF6" w:rsidRPr="000E6955" w:rsidRDefault="002E5FF6" w:rsidP="005A5A4A">
            <w:pPr>
              <w:tabs>
                <w:tab w:val="left" w:pos="3544"/>
              </w:tabs>
              <w:rPr>
                <w:sz w:val="20"/>
              </w:rPr>
            </w:pPr>
            <w:r>
              <w:rPr>
                <w:sz w:val="20"/>
              </w:rPr>
              <w:t>Fixed  interest securities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left w:val="single" w:sz="18" w:space="0" w:color="FFFFFF" w:themeColor="background1"/>
            </w:tcBorders>
          </w:tcPr>
          <w:p w:rsidR="00897DBF" w:rsidRDefault="002E5FF6">
            <w:pPr>
              <w:tabs>
                <w:tab w:val="left" w:pos="3544"/>
              </w:tabs>
              <w:ind w:left="-392" w:right="239"/>
              <w:jc w:val="right"/>
              <w:rPr>
                <w:sz w:val="20"/>
              </w:rPr>
            </w:pPr>
            <w:r>
              <w:rPr>
                <w:sz w:val="20"/>
              </w:rPr>
              <w:t>623.4</w:t>
            </w:r>
          </w:p>
        </w:tc>
        <w:tc>
          <w:tcPr>
            <w:tcW w:w="28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422" w:type="dxa"/>
            <w:gridSpan w:val="2"/>
            <w:tcBorders>
              <w:left w:val="single" w:sz="18" w:space="0" w:color="FFFFFF" w:themeColor="background1"/>
            </w:tcBorders>
          </w:tcPr>
          <w:p w:rsidR="00897DBF" w:rsidRDefault="002E5FF6">
            <w:pPr>
              <w:tabs>
                <w:tab w:val="left" w:pos="3544"/>
              </w:tabs>
              <w:ind w:left="601" w:right="-108"/>
              <w:jc w:val="right"/>
              <w:rPr>
                <w:sz w:val="20"/>
              </w:rPr>
            </w:pPr>
            <w:r>
              <w:rPr>
                <w:sz w:val="20"/>
              </w:rPr>
              <w:t>501.1</w:t>
            </w:r>
          </w:p>
        </w:tc>
        <w:tc>
          <w:tcPr>
            <w:tcW w:w="1856" w:type="dxa"/>
            <w:gridSpan w:val="4"/>
          </w:tcPr>
          <w:p w:rsidR="00897DBF" w:rsidRDefault="002E5FF6">
            <w:pPr>
              <w:tabs>
                <w:tab w:val="left" w:pos="3544"/>
              </w:tabs>
              <w:ind w:right="-111"/>
              <w:jc w:val="right"/>
              <w:rPr>
                <w:sz w:val="20"/>
              </w:rPr>
            </w:pPr>
            <w:r>
              <w:rPr>
                <w:sz w:val="20"/>
              </w:rPr>
              <w:t>(471.9)</w:t>
            </w:r>
          </w:p>
        </w:tc>
        <w:tc>
          <w:tcPr>
            <w:tcW w:w="852" w:type="dxa"/>
            <w:gridSpan w:val="2"/>
            <w:tcBorders>
              <w:right w:val="single" w:sz="18" w:space="0" w:color="FFFFFF" w:themeColor="background1"/>
            </w:tcBorders>
          </w:tcPr>
          <w:p w:rsidR="002E5FF6" w:rsidRDefault="002E5FF6" w:rsidP="005A5A4A">
            <w:pPr>
              <w:tabs>
                <w:tab w:val="left" w:pos="3544"/>
              </w:tabs>
              <w:jc w:val="center"/>
              <w:rPr>
                <w:sz w:val="20"/>
              </w:rPr>
            </w:pPr>
          </w:p>
        </w:tc>
        <w:tc>
          <w:tcPr>
            <w:tcW w:w="709" w:type="dxa"/>
            <w:gridSpan w:val="2"/>
            <w:tcBorders>
              <w:left w:val="single" w:sz="18" w:space="0" w:color="FFFFFF" w:themeColor="background1"/>
            </w:tcBorders>
          </w:tcPr>
          <w:p w:rsidR="00897DBF" w:rsidRDefault="002E5FF6">
            <w:pPr>
              <w:tabs>
                <w:tab w:val="left" w:pos="3544"/>
              </w:tabs>
              <w:ind w:left="-425"/>
              <w:jc w:val="right"/>
              <w:rPr>
                <w:sz w:val="20"/>
              </w:rPr>
            </w:pPr>
            <w:r>
              <w:rPr>
                <w:sz w:val="20"/>
              </w:rPr>
              <w:t>191.0</w:t>
            </w:r>
          </w:p>
        </w:tc>
        <w:tc>
          <w:tcPr>
            <w:tcW w:w="568" w:type="dxa"/>
            <w:tcBorders>
              <w:right w:val="single" w:sz="18" w:space="0" w:color="FFFFFF" w:themeColor="background1"/>
            </w:tcBorders>
          </w:tcPr>
          <w:p w:rsidR="002E5FF6" w:rsidRDefault="002E5FF6" w:rsidP="005A5A4A">
            <w:pPr>
              <w:tabs>
                <w:tab w:val="left" w:pos="3544"/>
              </w:tabs>
              <w:jc w:val="right"/>
              <w:rPr>
                <w:sz w:val="20"/>
              </w:rPr>
            </w:pPr>
          </w:p>
        </w:tc>
        <w:tc>
          <w:tcPr>
            <w:tcW w:w="987" w:type="dxa"/>
            <w:gridSpan w:val="2"/>
            <w:tcBorders>
              <w:left w:val="single" w:sz="18" w:space="0" w:color="FFFFFF" w:themeColor="background1"/>
            </w:tcBorders>
          </w:tcPr>
          <w:p w:rsidR="002E5FF6" w:rsidRDefault="002E5FF6" w:rsidP="005A5A4A">
            <w:pPr>
              <w:tabs>
                <w:tab w:val="left" w:pos="3544"/>
              </w:tabs>
              <w:jc w:val="right"/>
              <w:rPr>
                <w:sz w:val="20"/>
              </w:rPr>
            </w:pPr>
            <w:r>
              <w:rPr>
                <w:sz w:val="20"/>
              </w:rPr>
              <w:t>843.6</w:t>
            </w:r>
          </w:p>
        </w:tc>
      </w:tr>
      <w:tr w:rsidR="0079296C" w:rsidRPr="000E6955" w:rsidTr="006229C6">
        <w:trPr>
          <w:gridAfter w:val="1"/>
          <w:wAfter w:w="6" w:type="dxa"/>
          <w:trHeight w:val="170"/>
        </w:trPr>
        <w:tc>
          <w:tcPr>
            <w:tcW w:w="2360" w:type="dxa"/>
          </w:tcPr>
          <w:p w:rsidR="002E5FF6" w:rsidRDefault="002E5FF6" w:rsidP="005A5A4A">
            <w:pPr>
              <w:tabs>
                <w:tab w:val="left" w:pos="3544"/>
              </w:tabs>
              <w:rPr>
                <w:sz w:val="20"/>
              </w:rPr>
            </w:pPr>
            <w:r>
              <w:rPr>
                <w:sz w:val="20"/>
              </w:rPr>
              <w:t>Equities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left w:val="single" w:sz="18" w:space="0" w:color="FFFFFF" w:themeColor="background1"/>
            </w:tcBorders>
          </w:tcPr>
          <w:p w:rsidR="00897DBF" w:rsidRDefault="002E5FF6">
            <w:pPr>
              <w:tabs>
                <w:tab w:val="left" w:pos="3544"/>
              </w:tabs>
              <w:ind w:left="-392" w:right="239"/>
              <w:jc w:val="right"/>
              <w:rPr>
                <w:sz w:val="20"/>
              </w:rPr>
            </w:pPr>
            <w:r>
              <w:rPr>
                <w:sz w:val="20"/>
              </w:rPr>
              <w:t>1,613.7</w:t>
            </w:r>
          </w:p>
        </w:tc>
        <w:tc>
          <w:tcPr>
            <w:tcW w:w="28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422" w:type="dxa"/>
            <w:gridSpan w:val="2"/>
            <w:tcBorders>
              <w:left w:val="single" w:sz="18" w:space="0" w:color="FFFFFF" w:themeColor="background1"/>
            </w:tcBorders>
          </w:tcPr>
          <w:p w:rsidR="00897DBF" w:rsidRDefault="002E5FF6">
            <w:pPr>
              <w:tabs>
                <w:tab w:val="left" w:pos="3544"/>
              </w:tabs>
              <w:ind w:left="601" w:right="-108"/>
              <w:jc w:val="right"/>
              <w:rPr>
                <w:sz w:val="20"/>
              </w:rPr>
            </w:pPr>
            <w:r>
              <w:rPr>
                <w:sz w:val="20"/>
              </w:rPr>
              <w:t>1,409.8</w:t>
            </w:r>
          </w:p>
        </w:tc>
        <w:tc>
          <w:tcPr>
            <w:tcW w:w="1856" w:type="dxa"/>
            <w:gridSpan w:val="4"/>
          </w:tcPr>
          <w:p w:rsidR="00897DBF" w:rsidRDefault="002E5FF6">
            <w:pPr>
              <w:tabs>
                <w:tab w:val="left" w:pos="3544"/>
              </w:tabs>
              <w:ind w:right="-111"/>
              <w:jc w:val="right"/>
              <w:rPr>
                <w:sz w:val="20"/>
              </w:rPr>
            </w:pPr>
            <w:r>
              <w:rPr>
                <w:sz w:val="20"/>
              </w:rPr>
              <w:t>(1,581.2)</w:t>
            </w:r>
          </w:p>
        </w:tc>
        <w:tc>
          <w:tcPr>
            <w:tcW w:w="852"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709" w:type="dxa"/>
            <w:gridSpan w:val="2"/>
            <w:tcBorders>
              <w:left w:val="single" w:sz="18" w:space="0" w:color="FFFFFF" w:themeColor="background1"/>
            </w:tcBorders>
          </w:tcPr>
          <w:p w:rsidR="00897DBF" w:rsidRDefault="002E5FF6">
            <w:pPr>
              <w:tabs>
                <w:tab w:val="left" w:pos="3544"/>
              </w:tabs>
              <w:ind w:left="-425"/>
              <w:jc w:val="right"/>
              <w:rPr>
                <w:sz w:val="20"/>
              </w:rPr>
            </w:pPr>
            <w:r>
              <w:rPr>
                <w:sz w:val="20"/>
              </w:rPr>
              <w:t>307.0</w:t>
            </w:r>
          </w:p>
        </w:tc>
        <w:tc>
          <w:tcPr>
            <w:tcW w:w="1555" w:type="dxa"/>
            <w:gridSpan w:val="3"/>
          </w:tcPr>
          <w:p w:rsidR="002E5FF6" w:rsidRDefault="002E5FF6" w:rsidP="005A5A4A">
            <w:pPr>
              <w:tabs>
                <w:tab w:val="left" w:pos="3544"/>
              </w:tabs>
              <w:jc w:val="right"/>
              <w:rPr>
                <w:sz w:val="20"/>
              </w:rPr>
            </w:pPr>
            <w:r>
              <w:rPr>
                <w:sz w:val="20"/>
              </w:rPr>
              <w:t>1,749.3</w:t>
            </w:r>
          </w:p>
        </w:tc>
      </w:tr>
      <w:tr w:rsidR="0079296C" w:rsidRPr="000E6955" w:rsidTr="006229C6">
        <w:trPr>
          <w:gridAfter w:val="1"/>
          <w:wAfter w:w="6" w:type="dxa"/>
          <w:trHeight w:val="170"/>
        </w:trPr>
        <w:tc>
          <w:tcPr>
            <w:tcW w:w="2360" w:type="dxa"/>
          </w:tcPr>
          <w:p w:rsidR="002E5FF6" w:rsidRDefault="002E5FF6" w:rsidP="005A5A4A">
            <w:pPr>
              <w:tabs>
                <w:tab w:val="left" w:pos="3544"/>
              </w:tabs>
              <w:rPr>
                <w:sz w:val="20"/>
              </w:rPr>
            </w:pPr>
            <w:r>
              <w:rPr>
                <w:sz w:val="20"/>
              </w:rPr>
              <w:t>Index linked securities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left w:val="single" w:sz="18" w:space="0" w:color="FFFFFF" w:themeColor="background1"/>
            </w:tcBorders>
          </w:tcPr>
          <w:p w:rsidR="00897DBF" w:rsidRDefault="002E5FF6">
            <w:pPr>
              <w:tabs>
                <w:tab w:val="left" w:pos="3544"/>
              </w:tabs>
              <w:ind w:left="-392" w:right="239"/>
              <w:jc w:val="right"/>
              <w:rPr>
                <w:sz w:val="20"/>
              </w:rPr>
            </w:pPr>
            <w:r>
              <w:rPr>
                <w:sz w:val="20"/>
              </w:rPr>
              <w:t>124.6</w:t>
            </w:r>
          </w:p>
        </w:tc>
        <w:tc>
          <w:tcPr>
            <w:tcW w:w="28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422" w:type="dxa"/>
            <w:gridSpan w:val="2"/>
            <w:tcBorders>
              <w:left w:val="single" w:sz="18" w:space="0" w:color="FFFFFF" w:themeColor="background1"/>
            </w:tcBorders>
          </w:tcPr>
          <w:p w:rsidR="00897DBF" w:rsidRDefault="002E5FF6">
            <w:pPr>
              <w:tabs>
                <w:tab w:val="left" w:pos="3544"/>
              </w:tabs>
              <w:ind w:left="601" w:right="-108"/>
              <w:jc w:val="right"/>
              <w:rPr>
                <w:sz w:val="20"/>
              </w:rPr>
            </w:pPr>
            <w:r>
              <w:rPr>
                <w:sz w:val="20"/>
              </w:rPr>
              <w:t>16.1</w:t>
            </w:r>
          </w:p>
        </w:tc>
        <w:tc>
          <w:tcPr>
            <w:tcW w:w="1856" w:type="dxa"/>
            <w:gridSpan w:val="4"/>
          </w:tcPr>
          <w:p w:rsidR="00897DBF" w:rsidRDefault="002E5FF6">
            <w:pPr>
              <w:tabs>
                <w:tab w:val="left" w:pos="3544"/>
              </w:tabs>
              <w:ind w:right="-111"/>
              <w:jc w:val="right"/>
              <w:rPr>
                <w:sz w:val="20"/>
              </w:rPr>
            </w:pPr>
            <w:r>
              <w:rPr>
                <w:sz w:val="20"/>
              </w:rPr>
              <w:t>(29.1)</w:t>
            </w:r>
          </w:p>
        </w:tc>
        <w:tc>
          <w:tcPr>
            <w:tcW w:w="852"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709" w:type="dxa"/>
            <w:gridSpan w:val="2"/>
            <w:tcBorders>
              <w:left w:val="single" w:sz="18" w:space="0" w:color="FFFFFF" w:themeColor="background1"/>
            </w:tcBorders>
            <w:vAlign w:val="bottom"/>
          </w:tcPr>
          <w:p w:rsidR="00897DBF" w:rsidRDefault="002E5FF6">
            <w:pPr>
              <w:tabs>
                <w:tab w:val="left" w:pos="3544"/>
              </w:tabs>
              <w:ind w:left="-425"/>
              <w:jc w:val="right"/>
              <w:rPr>
                <w:sz w:val="20"/>
              </w:rPr>
            </w:pPr>
            <w:r>
              <w:rPr>
                <w:sz w:val="20"/>
              </w:rPr>
              <w:t xml:space="preserve"> 53.3</w:t>
            </w:r>
          </w:p>
        </w:tc>
        <w:tc>
          <w:tcPr>
            <w:tcW w:w="568" w:type="dxa"/>
            <w:tcBorders>
              <w:right w:val="single" w:sz="18" w:space="0" w:color="FFFFFF" w:themeColor="background1"/>
            </w:tcBorders>
            <w:vAlign w:val="bottom"/>
          </w:tcPr>
          <w:p w:rsidR="002E5FF6" w:rsidRDefault="002E5FF6" w:rsidP="005A5A4A">
            <w:pPr>
              <w:tabs>
                <w:tab w:val="left" w:pos="3544"/>
              </w:tabs>
              <w:jc w:val="right"/>
              <w:rPr>
                <w:sz w:val="20"/>
              </w:rPr>
            </w:pPr>
          </w:p>
        </w:tc>
        <w:tc>
          <w:tcPr>
            <w:tcW w:w="987" w:type="dxa"/>
            <w:gridSpan w:val="2"/>
            <w:tcBorders>
              <w:left w:val="single" w:sz="18" w:space="0" w:color="FFFFFF" w:themeColor="background1"/>
            </w:tcBorders>
          </w:tcPr>
          <w:p w:rsidR="002E5FF6" w:rsidRDefault="002E5FF6" w:rsidP="005A5A4A">
            <w:pPr>
              <w:tabs>
                <w:tab w:val="left" w:pos="3544"/>
              </w:tabs>
              <w:jc w:val="right"/>
              <w:rPr>
                <w:sz w:val="20"/>
              </w:rPr>
            </w:pPr>
            <w:r>
              <w:rPr>
                <w:sz w:val="20"/>
              </w:rPr>
              <w:t>164.9</w:t>
            </w:r>
          </w:p>
        </w:tc>
      </w:tr>
      <w:tr w:rsidR="0079296C" w:rsidRPr="000E6955" w:rsidTr="006229C6">
        <w:trPr>
          <w:gridAfter w:val="1"/>
          <w:wAfter w:w="6" w:type="dxa"/>
          <w:trHeight w:val="170"/>
        </w:trPr>
        <w:tc>
          <w:tcPr>
            <w:tcW w:w="2360" w:type="dxa"/>
          </w:tcPr>
          <w:p w:rsidR="002E5FF6" w:rsidRDefault="002E5FF6" w:rsidP="005A5A4A">
            <w:pPr>
              <w:tabs>
                <w:tab w:val="left" w:pos="3544"/>
              </w:tabs>
              <w:rPr>
                <w:sz w:val="20"/>
              </w:rPr>
            </w:pPr>
            <w:r>
              <w:rPr>
                <w:sz w:val="20"/>
              </w:rPr>
              <w:t>Pooled investments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left w:val="single" w:sz="18" w:space="0" w:color="FFFFFF" w:themeColor="background1"/>
            </w:tcBorders>
          </w:tcPr>
          <w:p w:rsidR="00897DBF" w:rsidRDefault="002E5FF6">
            <w:pPr>
              <w:tabs>
                <w:tab w:val="left" w:pos="3544"/>
              </w:tabs>
              <w:ind w:left="-392" w:right="239"/>
              <w:jc w:val="right"/>
              <w:rPr>
                <w:sz w:val="20"/>
              </w:rPr>
            </w:pPr>
            <w:r>
              <w:rPr>
                <w:sz w:val="20"/>
              </w:rPr>
              <w:t>1,466.3</w:t>
            </w:r>
          </w:p>
        </w:tc>
        <w:tc>
          <w:tcPr>
            <w:tcW w:w="28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422" w:type="dxa"/>
            <w:gridSpan w:val="2"/>
            <w:tcBorders>
              <w:left w:val="single" w:sz="18" w:space="0" w:color="FFFFFF" w:themeColor="background1"/>
            </w:tcBorders>
          </w:tcPr>
          <w:p w:rsidR="00897DBF" w:rsidRDefault="002E5FF6">
            <w:pPr>
              <w:tabs>
                <w:tab w:val="left" w:pos="3544"/>
              </w:tabs>
              <w:ind w:left="601" w:right="-108"/>
              <w:jc w:val="right"/>
              <w:rPr>
                <w:sz w:val="20"/>
              </w:rPr>
            </w:pPr>
            <w:r>
              <w:rPr>
                <w:sz w:val="20"/>
              </w:rPr>
              <w:t>696.6</w:t>
            </w:r>
          </w:p>
        </w:tc>
        <w:tc>
          <w:tcPr>
            <w:tcW w:w="1856" w:type="dxa"/>
            <w:gridSpan w:val="4"/>
          </w:tcPr>
          <w:p w:rsidR="00897DBF" w:rsidRDefault="002E5FF6">
            <w:pPr>
              <w:tabs>
                <w:tab w:val="left" w:pos="3544"/>
              </w:tabs>
              <w:ind w:right="-111"/>
              <w:jc w:val="right"/>
              <w:rPr>
                <w:sz w:val="20"/>
              </w:rPr>
            </w:pPr>
            <w:r>
              <w:rPr>
                <w:sz w:val="20"/>
              </w:rPr>
              <w:t>(558.9)</w:t>
            </w:r>
          </w:p>
        </w:tc>
        <w:tc>
          <w:tcPr>
            <w:tcW w:w="852"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709" w:type="dxa"/>
            <w:gridSpan w:val="2"/>
            <w:tcBorders>
              <w:left w:val="single" w:sz="18" w:space="0" w:color="FFFFFF" w:themeColor="background1"/>
            </w:tcBorders>
          </w:tcPr>
          <w:p w:rsidR="00897DBF" w:rsidRDefault="002E5FF6">
            <w:pPr>
              <w:tabs>
                <w:tab w:val="left" w:pos="3544"/>
              </w:tabs>
              <w:ind w:left="-425"/>
              <w:jc w:val="right"/>
              <w:rPr>
                <w:sz w:val="20"/>
              </w:rPr>
            </w:pPr>
            <w:r>
              <w:rPr>
                <w:sz w:val="20"/>
              </w:rPr>
              <w:t>(2.8)</w:t>
            </w:r>
          </w:p>
        </w:tc>
        <w:tc>
          <w:tcPr>
            <w:tcW w:w="1555" w:type="dxa"/>
            <w:gridSpan w:val="3"/>
          </w:tcPr>
          <w:p w:rsidR="002E5FF6" w:rsidRDefault="002E5FF6" w:rsidP="005A5A4A">
            <w:pPr>
              <w:tabs>
                <w:tab w:val="left" w:pos="3544"/>
              </w:tabs>
              <w:jc w:val="right"/>
              <w:rPr>
                <w:sz w:val="20"/>
              </w:rPr>
            </w:pPr>
            <w:r>
              <w:rPr>
                <w:sz w:val="20"/>
              </w:rPr>
              <w:t>1,601.2</w:t>
            </w:r>
          </w:p>
        </w:tc>
      </w:tr>
      <w:tr w:rsidR="0079296C" w:rsidRPr="000E6955" w:rsidTr="006229C6">
        <w:trPr>
          <w:gridAfter w:val="1"/>
          <w:wAfter w:w="6" w:type="dxa"/>
          <w:trHeight w:val="170"/>
        </w:trPr>
        <w:tc>
          <w:tcPr>
            <w:tcW w:w="2360" w:type="dxa"/>
          </w:tcPr>
          <w:p w:rsidR="002E5FF6" w:rsidRDefault="002E5FF6" w:rsidP="005A5A4A">
            <w:pPr>
              <w:tabs>
                <w:tab w:val="left" w:pos="3544"/>
              </w:tabs>
              <w:rPr>
                <w:sz w:val="20"/>
              </w:rPr>
            </w:pPr>
            <w:r>
              <w:rPr>
                <w:sz w:val="20"/>
              </w:rPr>
              <w:t>Property</w:t>
            </w:r>
          </w:p>
        </w:tc>
        <w:tc>
          <w:tcPr>
            <w:tcW w:w="279" w:type="dxa"/>
            <w:tcBorders>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left w:val="single" w:sz="18" w:space="0" w:color="FFFFFF" w:themeColor="background1"/>
              <w:bottom w:val="single" w:sz="18" w:space="0" w:color="auto"/>
            </w:tcBorders>
          </w:tcPr>
          <w:p w:rsidR="00897DBF" w:rsidRDefault="002E5FF6">
            <w:pPr>
              <w:tabs>
                <w:tab w:val="left" w:pos="3544"/>
              </w:tabs>
              <w:ind w:left="-392" w:right="239"/>
              <w:jc w:val="right"/>
              <w:rPr>
                <w:sz w:val="20"/>
              </w:rPr>
            </w:pPr>
            <w:r>
              <w:rPr>
                <w:sz w:val="20"/>
              </w:rPr>
              <w:t>383.9</w:t>
            </w:r>
          </w:p>
        </w:tc>
        <w:tc>
          <w:tcPr>
            <w:tcW w:w="284" w:type="dxa"/>
            <w:gridSpan w:val="2"/>
            <w:tcBorders>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1422" w:type="dxa"/>
            <w:gridSpan w:val="2"/>
            <w:tcBorders>
              <w:left w:val="single" w:sz="18" w:space="0" w:color="FFFFFF" w:themeColor="background1"/>
              <w:bottom w:val="single" w:sz="18" w:space="0" w:color="auto"/>
            </w:tcBorders>
          </w:tcPr>
          <w:p w:rsidR="00897DBF" w:rsidRDefault="002E5FF6">
            <w:pPr>
              <w:tabs>
                <w:tab w:val="left" w:pos="3544"/>
              </w:tabs>
              <w:ind w:left="601" w:right="-108"/>
              <w:jc w:val="right"/>
              <w:rPr>
                <w:sz w:val="20"/>
              </w:rPr>
            </w:pPr>
            <w:r>
              <w:rPr>
                <w:sz w:val="20"/>
              </w:rPr>
              <w:t>72.1</w:t>
            </w:r>
          </w:p>
        </w:tc>
        <w:tc>
          <w:tcPr>
            <w:tcW w:w="1856" w:type="dxa"/>
            <w:gridSpan w:val="4"/>
            <w:tcBorders>
              <w:bottom w:val="single" w:sz="18" w:space="0" w:color="auto"/>
            </w:tcBorders>
          </w:tcPr>
          <w:p w:rsidR="00897DBF" w:rsidRDefault="002E5FF6">
            <w:pPr>
              <w:tabs>
                <w:tab w:val="left" w:pos="3544"/>
              </w:tabs>
              <w:ind w:right="-111"/>
              <w:jc w:val="right"/>
              <w:rPr>
                <w:sz w:val="20"/>
              </w:rPr>
            </w:pPr>
            <w:r>
              <w:rPr>
                <w:sz w:val="20"/>
              </w:rPr>
              <w:t>(5.3)</w:t>
            </w:r>
          </w:p>
        </w:tc>
        <w:tc>
          <w:tcPr>
            <w:tcW w:w="852" w:type="dxa"/>
            <w:gridSpan w:val="2"/>
            <w:tcBorders>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709" w:type="dxa"/>
            <w:gridSpan w:val="2"/>
            <w:tcBorders>
              <w:left w:val="single" w:sz="18" w:space="0" w:color="FFFFFF" w:themeColor="background1"/>
              <w:bottom w:val="single" w:sz="18" w:space="0" w:color="auto"/>
            </w:tcBorders>
          </w:tcPr>
          <w:p w:rsidR="00897DBF" w:rsidRDefault="002E5FF6">
            <w:pPr>
              <w:tabs>
                <w:tab w:val="left" w:pos="3544"/>
              </w:tabs>
              <w:ind w:left="-425"/>
              <w:jc w:val="right"/>
              <w:rPr>
                <w:sz w:val="20"/>
              </w:rPr>
            </w:pPr>
            <w:r>
              <w:rPr>
                <w:sz w:val="20"/>
              </w:rPr>
              <w:t>(15.8)</w:t>
            </w:r>
          </w:p>
        </w:tc>
        <w:tc>
          <w:tcPr>
            <w:tcW w:w="568" w:type="dxa"/>
            <w:tcBorders>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987" w:type="dxa"/>
            <w:gridSpan w:val="2"/>
            <w:tcBorders>
              <w:left w:val="single" w:sz="18" w:space="0" w:color="FFFFFF" w:themeColor="background1"/>
              <w:bottom w:val="single" w:sz="18" w:space="0" w:color="auto"/>
            </w:tcBorders>
          </w:tcPr>
          <w:p w:rsidR="002E5FF6" w:rsidRDefault="002E5FF6" w:rsidP="005A5A4A">
            <w:pPr>
              <w:tabs>
                <w:tab w:val="left" w:pos="3544"/>
              </w:tabs>
              <w:jc w:val="right"/>
              <w:rPr>
                <w:sz w:val="20"/>
              </w:rPr>
            </w:pPr>
            <w:r>
              <w:rPr>
                <w:sz w:val="20"/>
              </w:rPr>
              <w:t>434.9</w:t>
            </w:r>
          </w:p>
        </w:tc>
      </w:tr>
      <w:tr w:rsidR="0079296C" w:rsidRPr="000E6955" w:rsidTr="006229C6">
        <w:trPr>
          <w:trHeight w:val="170"/>
        </w:trPr>
        <w:tc>
          <w:tcPr>
            <w:tcW w:w="2360" w:type="dxa"/>
          </w:tcPr>
          <w:p w:rsidR="002E5FF6" w:rsidRDefault="002E5FF6" w:rsidP="005A5A4A">
            <w:pPr>
              <w:tabs>
                <w:tab w:val="left" w:pos="3544"/>
              </w:tabs>
              <w:rPr>
                <w:sz w:val="20"/>
              </w:rPr>
            </w:pPr>
          </w:p>
        </w:tc>
        <w:tc>
          <w:tcPr>
            <w:tcW w:w="279" w:type="dxa"/>
            <w:tcBorders>
              <w:top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1417" w:type="dxa"/>
            <w:gridSpan w:val="3"/>
            <w:tcBorders>
              <w:top w:val="single" w:sz="18" w:space="0" w:color="auto"/>
              <w:left w:val="single" w:sz="18" w:space="0" w:color="FFFFFF" w:themeColor="background1"/>
            </w:tcBorders>
          </w:tcPr>
          <w:p w:rsidR="00897DBF" w:rsidRDefault="002E5FF6">
            <w:pPr>
              <w:tabs>
                <w:tab w:val="left" w:pos="3544"/>
              </w:tabs>
              <w:ind w:left="-392" w:right="239"/>
              <w:jc w:val="right"/>
              <w:rPr>
                <w:sz w:val="20"/>
              </w:rPr>
            </w:pPr>
            <w:r>
              <w:rPr>
                <w:sz w:val="20"/>
              </w:rPr>
              <w:t>4,211.9</w:t>
            </w:r>
          </w:p>
          <w:p w:rsidR="00897DBF" w:rsidRDefault="00897DBF">
            <w:pPr>
              <w:tabs>
                <w:tab w:val="left" w:pos="3544"/>
              </w:tabs>
              <w:ind w:left="-392" w:right="239"/>
              <w:jc w:val="right"/>
              <w:rPr>
                <w:sz w:val="20"/>
              </w:rPr>
            </w:pPr>
          </w:p>
        </w:tc>
        <w:tc>
          <w:tcPr>
            <w:tcW w:w="568" w:type="dxa"/>
            <w:gridSpan w:val="3"/>
            <w:tcBorders>
              <w:top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1138" w:type="dxa"/>
            <w:tcBorders>
              <w:top w:val="single" w:sz="18" w:space="0" w:color="auto"/>
              <w:left w:val="single" w:sz="18" w:space="0" w:color="FFFFFF" w:themeColor="background1"/>
            </w:tcBorders>
          </w:tcPr>
          <w:p w:rsidR="00897DBF" w:rsidRDefault="002E5FF6">
            <w:pPr>
              <w:tabs>
                <w:tab w:val="left" w:pos="1168"/>
                <w:tab w:val="left" w:pos="3544"/>
              </w:tabs>
              <w:ind w:left="176" w:right="-108" w:hanging="176"/>
              <w:jc w:val="right"/>
              <w:rPr>
                <w:sz w:val="20"/>
              </w:rPr>
            </w:pPr>
            <w:r>
              <w:rPr>
                <w:sz w:val="20"/>
              </w:rPr>
              <w:t>2,695.7</w:t>
            </w:r>
          </w:p>
        </w:tc>
        <w:tc>
          <w:tcPr>
            <w:tcW w:w="1994" w:type="dxa"/>
            <w:gridSpan w:val="5"/>
            <w:tcBorders>
              <w:top w:val="single" w:sz="18" w:space="0" w:color="auto"/>
            </w:tcBorders>
          </w:tcPr>
          <w:p w:rsidR="002E5FF6" w:rsidRDefault="002E5FF6" w:rsidP="005A5A4A">
            <w:pPr>
              <w:tabs>
                <w:tab w:val="left" w:pos="3544"/>
              </w:tabs>
              <w:jc w:val="right"/>
              <w:rPr>
                <w:sz w:val="20"/>
              </w:rPr>
            </w:pPr>
            <w:r>
              <w:rPr>
                <w:sz w:val="20"/>
              </w:rPr>
              <w:t>(2,646.4)</w:t>
            </w:r>
          </w:p>
        </w:tc>
        <w:tc>
          <w:tcPr>
            <w:tcW w:w="714" w:type="dxa"/>
            <w:tcBorders>
              <w:top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709" w:type="dxa"/>
            <w:gridSpan w:val="2"/>
            <w:tcBorders>
              <w:top w:val="single" w:sz="18" w:space="0" w:color="auto"/>
              <w:left w:val="single" w:sz="18" w:space="0" w:color="FFFFFF" w:themeColor="background1"/>
            </w:tcBorders>
          </w:tcPr>
          <w:p w:rsidR="00897DBF" w:rsidRDefault="002E5FF6">
            <w:pPr>
              <w:tabs>
                <w:tab w:val="left" w:pos="3544"/>
              </w:tabs>
              <w:ind w:left="-425"/>
              <w:jc w:val="right"/>
              <w:rPr>
                <w:sz w:val="20"/>
              </w:rPr>
            </w:pPr>
            <w:r>
              <w:rPr>
                <w:sz w:val="20"/>
              </w:rPr>
              <w:t>532.7</w:t>
            </w:r>
          </w:p>
        </w:tc>
        <w:tc>
          <w:tcPr>
            <w:tcW w:w="1561" w:type="dxa"/>
            <w:gridSpan w:val="4"/>
            <w:tcBorders>
              <w:top w:val="single" w:sz="18" w:space="0" w:color="auto"/>
            </w:tcBorders>
          </w:tcPr>
          <w:p w:rsidR="002E5FF6" w:rsidRDefault="002E5FF6" w:rsidP="005A5A4A">
            <w:pPr>
              <w:tabs>
                <w:tab w:val="left" w:pos="3544"/>
              </w:tabs>
              <w:jc w:val="right"/>
              <w:rPr>
                <w:sz w:val="20"/>
              </w:rPr>
            </w:pPr>
            <w:r>
              <w:rPr>
                <w:sz w:val="20"/>
              </w:rPr>
              <w:t>4,793.9</w:t>
            </w:r>
          </w:p>
        </w:tc>
      </w:tr>
      <w:tr w:rsidR="0079296C" w:rsidRPr="000E6955" w:rsidTr="006229C6">
        <w:trPr>
          <w:gridAfter w:val="2"/>
          <w:wAfter w:w="142" w:type="dxa"/>
          <w:trHeight w:val="170"/>
        </w:trPr>
        <w:tc>
          <w:tcPr>
            <w:tcW w:w="2360" w:type="dxa"/>
          </w:tcPr>
          <w:p w:rsidR="002E5FF6" w:rsidRDefault="002E5FF6" w:rsidP="005A5A4A">
            <w:pPr>
              <w:tabs>
                <w:tab w:val="left" w:pos="3544"/>
              </w:tabs>
              <w:rPr>
                <w:sz w:val="20"/>
              </w:rPr>
            </w:pPr>
            <w:r>
              <w:rPr>
                <w:sz w:val="20"/>
              </w:rPr>
              <w:t>Derivative contracts:</w:t>
            </w:r>
          </w:p>
          <w:p w:rsidR="002E5FF6" w:rsidRDefault="002E5FF6" w:rsidP="005A5A4A">
            <w:pPr>
              <w:tabs>
                <w:tab w:val="left" w:pos="3544"/>
              </w:tabs>
              <w:rPr>
                <w:sz w:val="20"/>
              </w:rPr>
            </w:pPr>
            <w:r>
              <w:rPr>
                <w:sz w:val="20"/>
              </w:rPr>
              <w:t>Futures</w:t>
            </w:r>
          </w:p>
        </w:tc>
        <w:tc>
          <w:tcPr>
            <w:tcW w:w="279" w:type="dxa"/>
            <w:tcBorders>
              <w:right w:val="single" w:sz="18" w:space="0" w:color="FFFFFF" w:themeColor="background1"/>
            </w:tcBorders>
          </w:tcPr>
          <w:p w:rsidR="002E5FF6" w:rsidRDefault="002E5FF6" w:rsidP="005A5A4A">
            <w:pPr>
              <w:tabs>
                <w:tab w:val="left" w:pos="3544"/>
              </w:tabs>
              <w:jc w:val="right"/>
              <w:rPr>
                <w:sz w:val="20"/>
              </w:rPr>
            </w:pPr>
          </w:p>
          <w:p w:rsidR="002E5FF6" w:rsidRDefault="002E5FF6" w:rsidP="005A5A4A">
            <w:pPr>
              <w:tabs>
                <w:tab w:val="left" w:pos="3544"/>
              </w:tabs>
              <w:jc w:val="right"/>
              <w:rPr>
                <w:sz w:val="20"/>
              </w:rPr>
            </w:pPr>
          </w:p>
        </w:tc>
        <w:tc>
          <w:tcPr>
            <w:tcW w:w="1137" w:type="dxa"/>
            <w:gridSpan w:val="2"/>
            <w:tcBorders>
              <w:left w:val="single" w:sz="18" w:space="0" w:color="FFFFFF" w:themeColor="background1"/>
            </w:tcBorders>
          </w:tcPr>
          <w:p w:rsidR="00897DBF" w:rsidRDefault="00897DBF">
            <w:pPr>
              <w:tabs>
                <w:tab w:val="left" w:pos="3544"/>
              </w:tabs>
              <w:ind w:left="-392"/>
              <w:jc w:val="right"/>
              <w:rPr>
                <w:sz w:val="20"/>
              </w:rPr>
            </w:pPr>
          </w:p>
          <w:p w:rsidR="00897DBF" w:rsidRDefault="002E5FF6">
            <w:pPr>
              <w:tabs>
                <w:tab w:val="left" w:pos="3544"/>
              </w:tabs>
              <w:ind w:left="-392"/>
              <w:jc w:val="right"/>
              <w:rPr>
                <w:sz w:val="20"/>
              </w:rPr>
            </w:pPr>
            <w:r>
              <w:rPr>
                <w:sz w:val="20"/>
              </w:rPr>
              <w:t>0.2</w:t>
            </w: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vAlign w:val="bottom"/>
          </w:tcPr>
          <w:p w:rsidR="00897DBF" w:rsidRDefault="0079296C">
            <w:pPr>
              <w:tabs>
                <w:tab w:val="left" w:pos="3544"/>
              </w:tabs>
              <w:ind w:left="319" w:hanging="319"/>
              <w:jc w:val="right"/>
              <w:rPr>
                <w:sz w:val="20"/>
              </w:rPr>
            </w:pPr>
            <w:r>
              <w:rPr>
                <w:sz w:val="20"/>
              </w:rPr>
              <w:t xml:space="preserve">    </w:t>
            </w:r>
            <w:r w:rsidR="002E5FF6">
              <w:rPr>
                <w:sz w:val="20"/>
              </w:rPr>
              <w:t>0.4</w:t>
            </w:r>
          </w:p>
        </w:tc>
        <w:tc>
          <w:tcPr>
            <w:tcW w:w="1994" w:type="dxa"/>
            <w:gridSpan w:val="5"/>
            <w:vAlign w:val="bottom"/>
          </w:tcPr>
          <w:p w:rsidR="00897DBF" w:rsidRDefault="002E5FF6">
            <w:pPr>
              <w:tabs>
                <w:tab w:val="left" w:pos="3544"/>
              </w:tabs>
              <w:ind w:left="319" w:hanging="319"/>
              <w:jc w:val="right"/>
              <w:rPr>
                <w:sz w:val="20"/>
              </w:rPr>
            </w:pPr>
            <w:r>
              <w:rPr>
                <w:sz w:val="20"/>
              </w:rPr>
              <w:t>(0.5)</w:t>
            </w: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vAlign w:val="bottom"/>
          </w:tcPr>
          <w:p w:rsidR="002E5FF6" w:rsidRDefault="002E5FF6" w:rsidP="005A5A4A">
            <w:pPr>
              <w:tabs>
                <w:tab w:val="left" w:pos="3544"/>
              </w:tabs>
              <w:jc w:val="right"/>
              <w:rPr>
                <w:sz w:val="20"/>
              </w:rPr>
            </w:pPr>
            <w:r>
              <w:rPr>
                <w:sz w:val="20"/>
              </w:rPr>
              <w:t>(0.1)</w:t>
            </w:r>
          </w:p>
        </w:tc>
        <w:tc>
          <w:tcPr>
            <w:tcW w:w="568" w:type="dxa"/>
            <w:tcBorders>
              <w:right w:val="single" w:sz="18" w:space="0" w:color="FFFFFF" w:themeColor="background1"/>
            </w:tcBorders>
          </w:tcPr>
          <w:p w:rsidR="002E5FF6" w:rsidRDefault="002E5FF6" w:rsidP="005A5A4A">
            <w:pPr>
              <w:tabs>
                <w:tab w:val="left" w:pos="3544"/>
              </w:tabs>
              <w:jc w:val="right"/>
              <w:rPr>
                <w:sz w:val="20"/>
              </w:rPr>
            </w:pPr>
          </w:p>
        </w:tc>
        <w:tc>
          <w:tcPr>
            <w:tcW w:w="851" w:type="dxa"/>
            <w:tcBorders>
              <w:left w:val="single" w:sz="18" w:space="0" w:color="FFFFFF" w:themeColor="background1"/>
            </w:tcBorders>
            <w:vAlign w:val="bottom"/>
          </w:tcPr>
          <w:p w:rsidR="00897DBF" w:rsidRDefault="002E5FF6">
            <w:pPr>
              <w:tabs>
                <w:tab w:val="left" w:pos="3544"/>
              </w:tabs>
              <w:ind w:right="-108"/>
              <w:jc w:val="right"/>
              <w:rPr>
                <w:sz w:val="20"/>
              </w:rPr>
            </w:pPr>
            <w:r>
              <w:rPr>
                <w:sz w:val="20"/>
              </w:rPr>
              <w:t>0.0</w:t>
            </w:r>
          </w:p>
        </w:tc>
      </w:tr>
      <w:tr w:rsidR="0079296C" w:rsidRPr="000E6955" w:rsidTr="006229C6">
        <w:trPr>
          <w:gridAfter w:val="2"/>
          <w:wAfter w:w="142" w:type="dxa"/>
          <w:trHeight w:val="170"/>
        </w:trPr>
        <w:tc>
          <w:tcPr>
            <w:tcW w:w="2360" w:type="dxa"/>
          </w:tcPr>
          <w:p w:rsidR="002E5FF6" w:rsidRDefault="002E5FF6" w:rsidP="005A5A4A">
            <w:pPr>
              <w:tabs>
                <w:tab w:val="left" w:pos="3544"/>
              </w:tabs>
              <w:rPr>
                <w:sz w:val="20"/>
              </w:rPr>
            </w:pPr>
            <w:r>
              <w:rPr>
                <w:sz w:val="20"/>
              </w:rPr>
              <w:t>Forward currency contracts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137" w:type="dxa"/>
            <w:gridSpan w:val="2"/>
            <w:tcBorders>
              <w:left w:val="single" w:sz="18" w:space="0" w:color="FFFFFF" w:themeColor="background1"/>
            </w:tcBorders>
          </w:tcPr>
          <w:p w:rsidR="00897DBF" w:rsidRDefault="002E5FF6">
            <w:pPr>
              <w:tabs>
                <w:tab w:val="left" w:pos="3544"/>
              </w:tabs>
              <w:ind w:left="-392"/>
              <w:jc w:val="right"/>
              <w:rPr>
                <w:sz w:val="20"/>
              </w:rPr>
            </w:pPr>
            <w:r>
              <w:rPr>
                <w:sz w:val="20"/>
              </w:rPr>
              <w:t>1.6</w:t>
            </w: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tcPr>
          <w:p w:rsidR="002E5FF6" w:rsidRDefault="002E5FF6" w:rsidP="005A5A4A">
            <w:pPr>
              <w:tabs>
                <w:tab w:val="left" w:pos="3544"/>
              </w:tabs>
              <w:jc w:val="right"/>
              <w:rPr>
                <w:sz w:val="20"/>
              </w:rPr>
            </w:pPr>
          </w:p>
        </w:tc>
        <w:tc>
          <w:tcPr>
            <w:tcW w:w="984" w:type="dxa"/>
            <w:gridSpan w:val="3"/>
            <w:tcBorders>
              <w:right w:val="single" w:sz="18" w:space="0" w:color="FFFFFF" w:themeColor="background1"/>
            </w:tcBorders>
          </w:tcPr>
          <w:p w:rsidR="002E5FF6" w:rsidRDefault="002E5FF6" w:rsidP="005A5A4A">
            <w:pPr>
              <w:tabs>
                <w:tab w:val="left" w:pos="3544"/>
              </w:tabs>
              <w:jc w:val="right"/>
              <w:rPr>
                <w:sz w:val="20"/>
              </w:rPr>
            </w:pPr>
          </w:p>
        </w:tc>
        <w:tc>
          <w:tcPr>
            <w:tcW w:w="1010" w:type="dxa"/>
            <w:gridSpan w:val="2"/>
            <w:tcBorders>
              <w:left w:val="single" w:sz="18" w:space="0" w:color="FFFFFF" w:themeColor="background1"/>
            </w:tcBorders>
          </w:tcPr>
          <w:p w:rsidR="002E5FF6" w:rsidRDefault="002E5FF6" w:rsidP="005A5A4A">
            <w:pPr>
              <w:tabs>
                <w:tab w:val="left" w:pos="3544"/>
              </w:tabs>
              <w:jc w:val="right"/>
              <w:rPr>
                <w:sz w:val="20"/>
              </w:rPr>
            </w:pP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tcPr>
          <w:p w:rsidR="002E5FF6" w:rsidRDefault="002E5FF6" w:rsidP="005A5A4A">
            <w:pPr>
              <w:tabs>
                <w:tab w:val="left" w:pos="3544"/>
              </w:tabs>
              <w:jc w:val="right"/>
              <w:rPr>
                <w:sz w:val="20"/>
              </w:rPr>
            </w:pPr>
          </w:p>
        </w:tc>
        <w:tc>
          <w:tcPr>
            <w:tcW w:w="568" w:type="dxa"/>
            <w:tcBorders>
              <w:right w:val="single" w:sz="18" w:space="0" w:color="FFFFFF" w:themeColor="background1"/>
            </w:tcBorders>
          </w:tcPr>
          <w:p w:rsidR="002E5FF6" w:rsidRDefault="002E5FF6" w:rsidP="005A5A4A">
            <w:pPr>
              <w:tabs>
                <w:tab w:val="left" w:pos="3544"/>
              </w:tabs>
              <w:jc w:val="right"/>
              <w:rPr>
                <w:sz w:val="20"/>
              </w:rPr>
            </w:pPr>
          </w:p>
        </w:tc>
        <w:tc>
          <w:tcPr>
            <w:tcW w:w="851" w:type="dxa"/>
            <w:tcBorders>
              <w:left w:val="single" w:sz="18" w:space="0" w:color="FFFFFF" w:themeColor="background1"/>
            </w:tcBorders>
          </w:tcPr>
          <w:p w:rsidR="00897DBF" w:rsidRDefault="002E5FF6">
            <w:pPr>
              <w:tabs>
                <w:tab w:val="left" w:pos="3544"/>
              </w:tabs>
              <w:ind w:right="-108"/>
              <w:jc w:val="right"/>
              <w:rPr>
                <w:sz w:val="20"/>
              </w:rPr>
            </w:pPr>
            <w:r>
              <w:rPr>
                <w:sz w:val="20"/>
              </w:rPr>
              <w:t>3.0</w:t>
            </w:r>
          </w:p>
        </w:tc>
      </w:tr>
      <w:tr w:rsidR="0079296C" w:rsidRPr="000E6955" w:rsidTr="006229C6">
        <w:trPr>
          <w:gridAfter w:val="2"/>
          <w:wAfter w:w="142" w:type="dxa"/>
          <w:trHeight w:val="170"/>
        </w:trPr>
        <w:tc>
          <w:tcPr>
            <w:tcW w:w="2360" w:type="dxa"/>
          </w:tcPr>
          <w:p w:rsidR="002E5FF6" w:rsidRDefault="002E5FF6" w:rsidP="005A5A4A">
            <w:pPr>
              <w:tabs>
                <w:tab w:val="left" w:pos="3544"/>
              </w:tabs>
              <w:rPr>
                <w:sz w:val="20"/>
              </w:rPr>
            </w:pP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137" w:type="dxa"/>
            <w:gridSpan w:val="2"/>
            <w:tcBorders>
              <w:left w:val="single" w:sz="18" w:space="0" w:color="FFFFFF" w:themeColor="background1"/>
            </w:tcBorders>
          </w:tcPr>
          <w:p w:rsidR="00897DBF" w:rsidRDefault="00897DBF">
            <w:pPr>
              <w:tabs>
                <w:tab w:val="left" w:pos="3544"/>
              </w:tabs>
              <w:ind w:left="-392"/>
              <w:jc w:val="right"/>
              <w:rPr>
                <w:sz w:val="20"/>
              </w:rPr>
            </w:pP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tcPr>
          <w:p w:rsidR="002E5FF6" w:rsidRDefault="002E5FF6" w:rsidP="005A5A4A">
            <w:pPr>
              <w:tabs>
                <w:tab w:val="left" w:pos="3544"/>
              </w:tabs>
              <w:jc w:val="right"/>
              <w:rPr>
                <w:sz w:val="20"/>
              </w:rPr>
            </w:pPr>
          </w:p>
        </w:tc>
        <w:tc>
          <w:tcPr>
            <w:tcW w:w="984" w:type="dxa"/>
            <w:gridSpan w:val="3"/>
            <w:tcBorders>
              <w:right w:val="single" w:sz="18" w:space="0" w:color="FFFFFF" w:themeColor="background1"/>
            </w:tcBorders>
          </w:tcPr>
          <w:p w:rsidR="002E5FF6" w:rsidRDefault="002E5FF6" w:rsidP="005A5A4A">
            <w:pPr>
              <w:tabs>
                <w:tab w:val="left" w:pos="3544"/>
              </w:tabs>
              <w:jc w:val="right"/>
              <w:rPr>
                <w:sz w:val="20"/>
              </w:rPr>
            </w:pPr>
          </w:p>
        </w:tc>
        <w:tc>
          <w:tcPr>
            <w:tcW w:w="1010" w:type="dxa"/>
            <w:gridSpan w:val="2"/>
            <w:tcBorders>
              <w:left w:val="single" w:sz="18" w:space="0" w:color="FFFFFF" w:themeColor="background1"/>
            </w:tcBorders>
          </w:tcPr>
          <w:p w:rsidR="002E5FF6" w:rsidRDefault="002E5FF6" w:rsidP="005A5A4A">
            <w:pPr>
              <w:tabs>
                <w:tab w:val="left" w:pos="3544"/>
              </w:tabs>
              <w:jc w:val="right"/>
              <w:rPr>
                <w:sz w:val="20"/>
              </w:rPr>
            </w:pP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tcPr>
          <w:p w:rsidR="002E5FF6" w:rsidRDefault="002E5FF6" w:rsidP="005A5A4A">
            <w:pPr>
              <w:tabs>
                <w:tab w:val="left" w:pos="3544"/>
              </w:tabs>
              <w:jc w:val="right"/>
              <w:rPr>
                <w:sz w:val="20"/>
              </w:rPr>
            </w:pPr>
          </w:p>
        </w:tc>
        <w:tc>
          <w:tcPr>
            <w:tcW w:w="568" w:type="dxa"/>
            <w:tcBorders>
              <w:right w:val="single" w:sz="18" w:space="0" w:color="FFFFFF" w:themeColor="background1"/>
            </w:tcBorders>
          </w:tcPr>
          <w:p w:rsidR="002E5FF6" w:rsidRDefault="002E5FF6" w:rsidP="005A5A4A">
            <w:pPr>
              <w:tabs>
                <w:tab w:val="left" w:pos="3544"/>
              </w:tabs>
              <w:jc w:val="right"/>
              <w:rPr>
                <w:sz w:val="20"/>
              </w:rPr>
            </w:pPr>
          </w:p>
        </w:tc>
        <w:tc>
          <w:tcPr>
            <w:tcW w:w="851" w:type="dxa"/>
            <w:tcBorders>
              <w:left w:val="single" w:sz="18" w:space="0" w:color="FFFFFF" w:themeColor="background1"/>
            </w:tcBorders>
          </w:tcPr>
          <w:p w:rsidR="00897DBF" w:rsidRDefault="00897DBF">
            <w:pPr>
              <w:tabs>
                <w:tab w:val="left" w:pos="3544"/>
              </w:tabs>
              <w:ind w:right="-108"/>
              <w:jc w:val="right"/>
              <w:rPr>
                <w:sz w:val="20"/>
              </w:rPr>
            </w:pPr>
          </w:p>
        </w:tc>
      </w:tr>
      <w:tr w:rsidR="0079296C" w:rsidRPr="000E6955" w:rsidTr="006229C6">
        <w:trPr>
          <w:gridAfter w:val="2"/>
          <w:wAfter w:w="142" w:type="dxa"/>
          <w:trHeight w:val="170"/>
        </w:trPr>
        <w:tc>
          <w:tcPr>
            <w:tcW w:w="2360" w:type="dxa"/>
          </w:tcPr>
          <w:p w:rsidR="002E5FF6" w:rsidRDefault="002E5FF6" w:rsidP="005A5A4A">
            <w:pPr>
              <w:tabs>
                <w:tab w:val="left" w:pos="3544"/>
              </w:tabs>
              <w:rPr>
                <w:sz w:val="20"/>
              </w:rPr>
            </w:pPr>
            <w:r>
              <w:rPr>
                <w:sz w:val="20"/>
              </w:rPr>
              <w:t>Cash deposits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137" w:type="dxa"/>
            <w:gridSpan w:val="2"/>
            <w:tcBorders>
              <w:left w:val="single" w:sz="18" w:space="0" w:color="FFFFFF" w:themeColor="background1"/>
            </w:tcBorders>
          </w:tcPr>
          <w:p w:rsidR="00897DBF" w:rsidRDefault="002E5FF6">
            <w:pPr>
              <w:tabs>
                <w:tab w:val="left" w:pos="3544"/>
              </w:tabs>
              <w:ind w:left="-392"/>
              <w:jc w:val="right"/>
              <w:rPr>
                <w:sz w:val="20"/>
              </w:rPr>
            </w:pPr>
            <w:r>
              <w:rPr>
                <w:sz w:val="20"/>
              </w:rPr>
              <w:t>126.8</w:t>
            </w: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tcPr>
          <w:p w:rsidR="002E5FF6" w:rsidRDefault="002E5FF6" w:rsidP="005A5A4A">
            <w:pPr>
              <w:tabs>
                <w:tab w:val="left" w:pos="3544"/>
              </w:tabs>
              <w:jc w:val="right"/>
              <w:rPr>
                <w:sz w:val="20"/>
              </w:rPr>
            </w:pPr>
          </w:p>
        </w:tc>
        <w:tc>
          <w:tcPr>
            <w:tcW w:w="984" w:type="dxa"/>
            <w:gridSpan w:val="3"/>
            <w:tcBorders>
              <w:right w:val="single" w:sz="18" w:space="0" w:color="FFFFFF" w:themeColor="background1"/>
            </w:tcBorders>
          </w:tcPr>
          <w:p w:rsidR="002E5FF6" w:rsidRDefault="002E5FF6" w:rsidP="005A5A4A">
            <w:pPr>
              <w:tabs>
                <w:tab w:val="left" w:pos="3544"/>
              </w:tabs>
              <w:jc w:val="right"/>
              <w:rPr>
                <w:sz w:val="20"/>
              </w:rPr>
            </w:pPr>
          </w:p>
        </w:tc>
        <w:tc>
          <w:tcPr>
            <w:tcW w:w="1010" w:type="dxa"/>
            <w:gridSpan w:val="2"/>
            <w:tcBorders>
              <w:left w:val="single" w:sz="18" w:space="0" w:color="FFFFFF" w:themeColor="background1"/>
            </w:tcBorders>
          </w:tcPr>
          <w:p w:rsidR="002E5FF6" w:rsidRDefault="002E5FF6" w:rsidP="005A5A4A">
            <w:pPr>
              <w:tabs>
                <w:tab w:val="left" w:pos="3544"/>
              </w:tabs>
              <w:jc w:val="right"/>
              <w:rPr>
                <w:sz w:val="20"/>
              </w:rPr>
            </w:pP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tcPr>
          <w:p w:rsidR="002E5FF6" w:rsidRDefault="002E5FF6" w:rsidP="005A5A4A">
            <w:pPr>
              <w:tabs>
                <w:tab w:val="left" w:pos="3544"/>
              </w:tabs>
              <w:jc w:val="right"/>
              <w:rPr>
                <w:sz w:val="20"/>
              </w:rPr>
            </w:pPr>
          </w:p>
        </w:tc>
        <w:tc>
          <w:tcPr>
            <w:tcW w:w="568" w:type="dxa"/>
            <w:tcBorders>
              <w:right w:val="single" w:sz="18" w:space="0" w:color="FFFFFF" w:themeColor="background1"/>
            </w:tcBorders>
          </w:tcPr>
          <w:p w:rsidR="002E5FF6" w:rsidRDefault="002E5FF6" w:rsidP="005A5A4A">
            <w:pPr>
              <w:tabs>
                <w:tab w:val="left" w:pos="3544"/>
              </w:tabs>
              <w:jc w:val="right"/>
              <w:rPr>
                <w:sz w:val="20"/>
              </w:rPr>
            </w:pPr>
          </w:p>
        </w:tc>
        <w:tc>
          <w:tcPr>
            <w:tcW w:w="851" w:type="dxa"/>
            <w:tcBorders>
              <w:left w:val="single" w:sz="18" w:space="0" w:color="FFFFFF" w:themeColor="background1"/>
            </w:tcBorders>
          </w:tcPr>
          <w:p w:rsidR="00897DBF" w:rsidRDefault="002E5FF6">
            <w:pPr>
              <w:tabs>
                <w:tab w:val="left" w:pos="3544"/>
              </w:tabs>
              <w:ind w:right="-108"/>
              <w:jc w:val="right"/>
              <w:rPr>
                <w:sz w:val="20"/>
              </w:rPr>
            </w:pPr>
            <w:r>
              <w:rPr>
                <w:sz w:val="20"/>
              </w:rPr>
              <w:t>170.5</w:t>
            </w:r>
          </w:p>
        </w:tc>
      </w:tr>
      <w:tr w:rsidR="0079296C" w:rsidRPr="000E6955" w:rsidTr="001428E6">
        <w:trPr>
          <w:gridAfter w:val="2"/>
          <w:wAfter w:w="142" w:type="dxa"/>
          <w:trHeight w:val="170"/>
        </w:trPr>
        <w:tc>
          <w:tcPr>
            <w:tcW w:w="2360" w:type="dxa"/>
          </w:tcPr>
          <w:p w:rsidR="002E5FF6" w:rsidRDefault="002E5FF6" w:rsidP="005A5A4A">
            <w:pPr>
              <w:tabs>
                <w:tab w:val="left" w:pos="3544"/>
              </w:tabs>
              <w:rPr>
                <w:sz w:val="20"/>
              </w:rPr>
            </w:pPr>
            <w:r>
              <w:rPr>
                <w:sz w:val="20"/>
              </w:rPr>
              <w:t>Investment accruals</w:t>
            </w:r>
          </w:p>
        </w:tc>
        <w:tc>
          <w:tcPr>
            <w:tcW w:w="279" w:type="dxa"/>
            <w:tcBorders>
              <w:right w:val="single" w:sz="18" w:space="0" w:color="FFFFFF" w:themeColor="background1"/>
            </w:tcBorders>
          </w:tcPr>
          <w:p w:rsidR="002E5FF6" w:rsidRDefault="002E5FF6" w:rsidP="005A5A4A">
            <w:pPr>
              <w:tabs>
                <w:tab w:val="left" w:pos="3544"/>
              </w:tabs>
              <w:jc w:val="right"/>
              <w:rPr>
                <w:sz w:val="20"/>
              </w:rPr>
            </w:pPr>
          </w:p>
        </w:tc>
        <w:tc>
          <w:tcPr>
            <w:tcW w:w="1137" w:type="dxa"/>
            <w:gridSpan w:val="2"/>
            <w:tcBorders>
              <w:left w:val="single" w:sz="18" w:space="0" w:color="FFFFFF" w:themeColor="background1"/>
            </w:tcBorders>
          </w:tcPr>
          <w:p w:rsidR="00897DBF" w:rsidRDefault="002E5FF6">
            <w:pPr>
              <w:tabs>
                <w:tab w:val="left" w:pos="3544"/>
              </w:tabs>
              <w:ind w:left="-392"/>
              <w:jc w:val="right"/>
              <w:rPr>
                <w:sz w:val="20"/>
              </w:rPr>
            </w:pPr>
            <w:r>
              <w:rPr>
                <w:sz w:val="20"/>
              </w:rPr>
              <w:t>19.4</w:t>
            </w: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tcPr>
          <w:p w:rsidR="002E5FF6" w:rsidRDefault="002E5FF6" w:rsidP="005A5A4A">
            <w:pPr>
              <w:tabs>
                <w:tab w:val="left" w:pos="3544"/>
              </w:tabs>
              <w:jc w:val="right"/>
              <w:rPr>
                <w:sz w:val="20"/>
              </w:rPr>
            </w:pPr>
          </w:p>
        </w:tc>
        <w:tc>
          <w:tcPr>
            <w:tcW w:w="984" w:type="dxa"/>
            <w:gridSpan w:val="3"/>
            <w:tcBorders>
              <w:right w:val="single" w:sz="18" w:space="0" w:color="FFFFFF" w:themeColor="background1"/>
            </w:tcBorders>
          </w:tcPr>
          <w:p w:rsidR="002E5FF6" w:rsidRDefault="002E5FF6" w:rsidP="005A5A4A">
            <w:pPr>
              <w:tabs>
                <w:tab w:val="left" w:pos="3544"/>
              </w:tabs>
              <w:jc w:val="right"/>
              <w:rPr>
                <w:sz w:val="20"/>
              </w:rPr>
            </w:pPr>
          </w:p>
        </w:tc>
        <w:tc>
          <w:tcPr>
            <w:tcW w:w="1010" w:type="dxa"/>
            <w:gridSpan w:val="2"/>
            <w:tcBorders>
              <w:left w:val="single" w:sz="18" w:space="0" w:color="FFFFFF" w:themeColor="background1"/>
            </w:tcBorders>
          </w:tcPr>
          <w:p w:rsidR="002E5FF6" w:rsidRDefault="002E5FF6" w:rsidP="005A5A4A">
            <w:pPr>
              <w:tabs>
                <w:tab w:val="left" w:pos="3544"/>
              </w:tabs>
              <w:jc w:val="right"/>
              <w:rPr>
                <w:sz w:val="20"/>
              </w:rPr>
            </w:pP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tcPr>
          <w:p w:rsidR="002E5FF6" w:rsidRDefault="002E5FF6" w:rsidP="005A5A4A">
            <w:pPr>
              <w:tabs>
                <w:tab w:val="left" w:pos="3544"/>
              </w:tabs>
              <w:jc w:val="right"/>
              <w:rPr>
                <w:sz w:val="20"/>
              </w:rPr>
            </w:pPr>
          </w:p>
        </w:tc>
        <w:tc>
          <w:tcPr>
            <w:tcW w:w="568" w:type="dxa"/>
            <w:tcBorders>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851" w:type="dxa"/>
            <w:tcBorders>
              <w:left w:val="single" w:sz="18" w:space="0" w:color="FFFFFF" w:themeColor="background1"/>
              <w:bottom w:val="single" w:sz="18" w:space="0" w:color="auto"/>
            </w:tcBorders>
          </w:tcPr>
          <w:p w:rsidR="00897DBF" w:rsidRDefault="002E5FF6">
            <w:pPr>
              <w:tabs>
                <w:tab w:val="left" w:pos="3544"/>
              </w:tabs>
              <w:ind w:right="-108"/>
              <w:jc w:val="right"/>
              <w:rPr>
                <w:sz w:val="20"/>
              </w:rPr>
            </w:pPr>
            <w:r>
              <w:rPr>
                <w:sz w:val="20"/>
              </w:rPr>
              <w:t>21.6</w:t>
            </w:r>
          </w:p>
        </w:tc>
      </w:tr>
      <w:tr w:rsidR="0079296C" w:rsidRPr="000E6955" w:rsidTr="001428E6">
        <w:trPr>
          <w:gridAfter w:val="2"/>
          <w:wAfter w:w="142" w:type="dxa"/>
          <w:trHeight w:val="170"/>
        </w:trPr>
        <w:tc>
          <w:tcPr>
            <w:tcW w:w="2360" w:type="dxa"/>
          </w:tcPr>
          <w:p w:rsidR="002E5FF6" w:rsidRDefault="002E5FF6" w:rsidP="005A5A4A">
            <w:pPr>
              <w:tabs>
                <w:tab w:val="left" w:pos="3544"/>
              </w:tabs>
              <w:rPr>
                <w:sz w:val="20"/>
              </w:rPr>
            </w:pPr>
          </w:p>
        </w:tc>
        <w:tc>
          <w:tcPr>
            <w:tcW w:w="424" w:type="dxa"/>
            <w:gridSpan w:val="2"/>
            <w:tcBorders>
              <w:top w:val="single" w:sz="18" w:space="0" w:color="auto"/>
              <w:bottom w:val="single" w:sz="18" w:space="0" w:color="auto"/>
              <w:right w:val="single" w:sz="18" w:space="0" w:color="FFFFFF" w:themeColor="background1"/>
            </w:tcBorders>
          </w:tcPr>
          <w:p w:rsidR="002E5FF6" w:rsidRDefault="002E5FF6" w:rsidP="005A5A4A">
            <w:pPr>
              <w:tabs>
                <w:tab w:val="left" w:pos="3544"/>
              </w:tabs>
              <w:jc w:val="right"/>
              <w:rPr>
                <w:sz w:val="20"/>
              </w:rPr>
            </w:pPr>
          </w:p>
        </w:tc>
        <w:tc>
          <w:tcPr>
            <w:tcW w:w="992" w:type="dxa"/>
            <w:tcBorders>
              <w:top w:val="single" w:sz="18" w:space="0" w:color="auto"/>
              <w:left w:val="single" w:sz="18" w:space="0" w:color="FFFFFF" w:themeColor="background1"/>
              <w:bottom w:val="single" w:sz="18" w:space="0" w:color="auto"/>
            </w:tcBorders>
          </w:tcPr>
          <w:p w:rsidR="00897DBF" w:rsidRDefault="002E5FF6">
            <w:pPr>
              <w:tabs>
                <w:tab w:val="left" w:pos="3544"/>
              </w:tabs>
              <w:ind w:left="-392"/>
              <w:jc w:val="right"/>
              <w:rPr>
                <w:sz w:val="20"/>
              </w:rPr>
            </w:pPr>
            <w:r>
              <w:rPr>
                <w:sz w:val="20"/>
              </w:rPr>
              <w:t>4,359.9</w:t>
            </w:r>
          </w:p>
        </w:tc>
        <w:tc>
          <w:tcPr>
            <w:tcW w:w="427"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1559" w:type="dxa"/>
            <w:gridSpan w:val="3"/>
            <w:tcBorders>
              <w:left w:val="single" w:sz="18" w:space="0" w:color="FFFFFF" w:themeColor="background1"/>
            </w:tcBorders>
          </w:tcPr>
          <w:p w:rsidR="002E5FF6" w:rsidRDefault="002E5FF6" w:rsidP="005A5A4A">
            <w:pPr>
              <w:tabs>
                <w:tab w:val="left" w:pos="3544"/>
              </w:tabs>
              <w:jc w:val="right"/>
              <w:rPr>
                <w:sz w:val="20"/>
              </w:rPr>
            </w:pPr>
          </w:p>
        </w:tc>
        <w:tc>
          <w:tcPr>
            <w:tcW w:w="984" w:type="dxa"/>
            <w:gridSpan w:val="3"/>
            <w:tcBorders>
              <w:right w:val="single" w:sz="18" w:space="0" w:color="FFFFFF" w:themeColor="background1"/>
            </w:tcBorders>
          </w:tcPr>
          <w:p w:rsidR="002E5FF6" w:rsidRDefault="002E5FF6" w:rsidP="005A5A4A">
            <w:pPr>
              <w:tabs>
                <w:tab w:val="left" w:pos="3544"/>
              </w:tabs>
              <w:jc w:val="right"/>
              <w:rPr>
                <w:sz w:val="20"/>
              </w:rPr>
            </w:pPr>
          </w:p>
        </w:tc>
        <w:tc>
          <w:tcPr>
            <w:tcW w:w="1010" w:type="dxa"/>
            <w:gridSpan w:val="2"/>
            <w:tcBorders>
              <w:left w:val="single" w:sz="18" w:space="0" w:color="FFFFFF" w:themeColor="background1"/>
            </w:tcBorders>
          </w:tcPr>
          <w:p w:rsidR="002E5FF6" w:rsidRDefault="002E5FF6" w:rsidP="005A5A4A">
            <w:pPr>
              <w:tabs>
                <w:tab w:val="left" w:pos="3544"/>
              </w:tabs>
              <w:jc w:val="right"/>
              <w:rPr>
                <w:sz w:val="20"/>
              </w:rPr>
            </w:pPr>
          </w:p>
        </w:tc>
        <w:tc>
          <w:tcPr>
            <w:tcW w:w="734" w:type="dxa"/>
            <w:gridSpan w:val="2"/>
            <w:tcBorders>
              <w:right w:val="single" w:sz="18" w:space="0" w:color="FFFFFF" w:themeColor="background1"/>
            </w:tcBorders>
          </w:tcPr>
          <w:p w:rsidR="002E5FF6" w:rsidRDefault="002E5FF6" w:rsidP="005A5A4A">
            <w:pPr>
              <w:tabs>
                <w:tab w:val="left" w:pos="3544"/>
              </w:tabs>
              <w:jc w:val="right"/>
              <w:rPr>
                <w:sz w:val="20"/>
              </w:rPr>
            </w:pPr>
          </w:p>
        </w:tc>
        <w:tc>
          <w:tcPr>
            <w:tcW w:w="689" w:type="dxa"/>
            <w:tcBorders>
              <w:left w:val="single" w:sz="18" w:space="0" w:color="FFFFFF" w:themeColor="background1"/>
            </w:tcBorders>
          </w:tcPr>
          <w:p w:rsidR="002E5FF6" w:rsidRDefault="002E5FF6" w:rsidP="005A5A4A">
            <w:pPr>
              <w:tabs>
                <w:tab w:val="left" w:pos="3544"/>
              </w:tabs>
              <w:jc w:val="right"/>
              <w:rPr>
                <w:sz w:val="20"/>
              </w:rPr>
            </w:pPr>
          </w:p>
        </w:tc>
        <w:tc>
          <w:tcPr>
            <w:tcW w:w="1419" w:type="dxa"/>
            <w:gridSpan w:val="2"/>
            <w:tcBorders>
              <w:top w:val="single" w:sz="18" w:space="0" w:color="auto"/>
              <w:bottom w:val="single" w:sz="18" w:space="0" w:color="auto"/>
            </w:tcBorders>
          </w:tcPr>
          <w:p w:rsidR="00897DBF" w:rsidRDefault="002E5FF6">
            <w:pPr>
              <w:tabs>
                <w:tab w:val="left" w:pos="3544"/>
              </w:tabs>
              <w:ind w:right="-108"/>
              <w:jc w:val="right"/>
              <w:rPr>
                <w:sz w:val="20"/>
              </w:rPr>
            </w:pPr>
            <w:r>
              <w:rPr>
                <w:sz w:val="20"/>
              </w:rPr>
              <w:t>4,989.0</w:t>
            </w:r>
          </w:p>
        </w:tc>
      </w:tr>
      <w:tr w:rsidR="001428E6" w:rsidRPr="000E6955" w:rsidTr="001428E6">
        <w:trPr>
          <w:gridAfter w:val="2"/>
          <w:wAfter w:w="142" w:type="dxa"/>
          <w:trHeight w:val="170"/>
        </w:trPr>
        <w:tc>
          <w:tcPr>
            <w:tcW w:w="2360" w:type="dxa"/>
          </w:tcPr>
          <w:p w:rsidR="001428E6" w:rsidRDefault="001428E6" w:rsidP="005A5A4A">
            <w:pPr>
              <w:tabs>
                <w:tab w:val="left" w:pos="3544"/>
              </w:tabs>
              <w:rPr>
                <w:sz w:val="20"/>
              </w:rPr>
            </w:pPr>
          </w:p>
        </w:tc>
        <w:tc>
          <w:tcPr>
            <w:tcW w:w="424" w:type="dxa"/>
            <w:gridSpan w:val="2"/>
            <w:tcBorders>
              <w:top w:val="single" w:sz="18" w:space="0" w:color="auto"/>
            </w:tcBorders>
          </w:tcPr>
          <w:p w:rsidR="001428E6" w:rsidRDefault="001428E6" w:rsidP="005A5A4A">
            <w:pPr>
              <w:tabs>
                <w:tab w:val="left" w:pos="3544"/>
              </w:tabs>
              <w:jc w:val="right"/>
              <w:rPr>
                <w:sz w:val="20"/>
              </w:rPr>
            </w:pPr>
          </w:p>
        </w:tc>
        <w:tc>
          <w:tcPr>
            <w:tcW w:w="992" w:type="dxa"/>
            <w:tcBorders>
              <w:top w:val="single" w:sz="18" w:space="0" w:color="auto"/>
            </w:tcBorders>
          </w:tcPr>
          <w:p w:rsidR="001428E6" w:rsidRDefault="001428E6">
            <w:pPr>
              <w:tabs>
                <w:tab w:val="left" w:pos="3544"/>
              </w:tabs>
              <w:ind w:left="-392"/>
              <w:jc w:val="right"/>
              <w:rPr>
                <w:sz w:val="20"/>
              </w:rPr>
            </w:pPr>
          </w:p>
        </w:tc>
        <w:tc>
          <w:tcPr>
            <w:tcW w:w="427" w:type="dxa"/>
            <w:gridSpan w:val="2"/>
          </w:tcPr>
          <w:p w:rsidR="001428E6" w:rsidRDefault="001428E6" w:rsidP="005A5A4A">
            <w:pPr>
              <w:tabs>
                <w:tab w:val="left" w:pos="3544"/>
              </w:tabs>
              <w:jc w:val="right"/>
              <w:rPr>
                <w:sz w:val="20"/>
              </w:rPr>
            </w:pPr>
          </w:p>
        </w:tc>
        <w:tc>
          <w:tcPr>
            <w:tcW w:w="1559" w:type="dxa"/>
            <w:gridSpan w:val="3"/>
          </w:tcPr>
          <w:p w:rsidR="001428E6" w:rsidRDefault="001428E6" w:rsidP="005A5A4A">
            <w:pPr>
              <w:tabs>
                <w:tab w:val="left" w:pos="3544"/>
              </w:tabs>
              <w:jc w:val="right"/>
              <w:rPr>
                <w:sz w:val="20"/>
              </w:rPr>
            </w:pPr>
          </w:p>
        </w:tc>
        <w:tc>
          <w:tcPr>
            <w:tcW w:w="984" w:type="dxa"/>
            <w:gridSpan w:val="3"/>
          </w:tcPr>
          <w:p w:rsidR="001428E6" w:rsidRDefault="001428E6" w:rsidP="005A5A4A">
            <w:pPr>
              <w:tabs>
                <w:tab w:val="left" w:pos="3544"/>
              </w:tabs>
              <w:jc w:val="right"/>
              <w:rPr>
                <w:sz w:val="20"/>
              </w:rPr>
            </w:pPr>
          </w:p>
        </w:tc>
        <w:tc>
          <w:tcPr>
            <w:tcW w:w="1010" w:type="dxa"/>
            <w:gridSpan w:val="2"/>
          </w:tcPr>
          <w:p w:rsidR="001428E6" w:rsidRDefault="001428E6" w:rsidP="005A5A4A">
            <w:pPr>
              <w:tabs>
                <w:tab w:val="left" w:pos="3544"/>
              </w:tabs>
              <w:jc w:val="right"/>
              <w:rPr>
                <w:sz w:val="20"/>
              </w:rPr>
            </w:pPr>
          </w:p>
        </w:tc>
        <w:tc>
          <w:tcPr>
            <w:tcW w:w="734" w:type="dxa"/>
            <w:gridSpan w:val="2"/>
          </w:tcPr>
          <w:p w:rsidR="001428E6" w:rsidRDefault="001428E6" w:rsidP="005A5A4A">
            <w:pPr>
              <w:tabs>
                <w:tab w:val="left" w:pos="3544"/>
              </w:tabs>
              <w:jc w:val="right"/>
              <w:rPr>
                <w:sz w:val="20"/>
              </w:rPr>
            </w:pPr>
          </w:p>
        </w:tc>
        <w:tc>
          <w:tcPr>
            <w:tcW w:w="689" w:type="dxa"/>
          </w:tcPr>
          <w:p w:rsidR="001428E6" w:rsidRDefault="001428E6" w:rsidP="005A5A4A">
            <w:pPr>
              <w:tabs>
                <w:tab w:val="left" w:pos="3544"/>
              </w:tabs>
              <w:jc w:val="right"/>
              <w:rPr>
                <w:sz w:val="20"/>
              </w:rPr>
            </w:pPr>
          </w:p>
        </w:tc>
        <w:tc>
          <w:tcPr>
            <w:tcW w:w="1419" w:type="dxa"/>
            <w:gridSpan w:val="2"/>
            <w:tcBorders>
              <w:top w:val="single" w:sz="18" w:space="0" w:color="auto"/>
            </w:tcBorders>
          </w:tcPr>
          <w:p w:rsidR="001428E6" w:rsidRDefault="001428E6">
            <w:pPr>
              <w:tabs>
                <w:tab w:val="left" w:pos="3544"/>
              </w:tabs>
              <w:ind w:right="-108"/>
              <w:jc w:val="right"/>
              <w:rPr>
                <w:sz w:val="20"/>
              </w:rPr>
            </w:pPr>
          </w:p>
        </w:tc>
      </w:tr>
    </w:tbl>
    <w:p w:rsidR="001428E6" w:rsidRDefault="001428E6" w:rsidP="005A5A4A">
      <w:pPr>
        <w:tabs>
          <w:tab w:val="left" w:pos="3544"/>
        </w:tabs>
        <w:spacing w:after="120"/>
        <w:rPr>
          <w:szCs w:val="24"/>
        </w:rPr>
      </w:pPr>
    </w:p>
    <w:tbl>
      <w:tblPr>
        <w:tblStyle w:val="TableGrid"/>
        <w:tblW w:w="10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3"/>
        <w:gridCol w:w="360"/>
        <w:gridCol w:w="973"/>
        <w:gridCol w:w="183"/>
        <w:gridCol w:w="110"/>
        <w:gridCol w:w="1148"/>
        <w:gridCol w:w="884"/>
        <w:gridCol w:w="87"/>
        <w:gridCol w:w="819"/>
        <w:gridCol w:w="1017"/>
        <w:gridCol w:w="1283"/>
        <w:gridCol w:w="229"/>
        <w:gridCol w:w="7"/>
        <w:gridCol w:w="91"/>
        <w:gridCol w:w="1044"/>
        <w:gridCol w:w="76"/>
      </w:tblGrid>
      <w:tr w:rsidR="002E5FF6" w:rsidRPr="008B5FD4" w:rsidTr="006229C6">
        <w:tc>
          <w:tcPr>
            <w:tcW w:w="2273" w:type="dxa"/>
          </w:tcPr>
          <w:p w:rsidR="002E5FF6" w:rsidRPr="008B5FD4" w:rsidRDefault="002E5FF6" w:rsidP="002E5FF6">
            <w:pPr>
              <w:rPr>
                <w:b/>
                <w:sz w:val="20"/>
              </w:rPr>
            </w:pPr>
          </w:p>
        </w:tc>
        <w:tc>
          <w:tcPr>
            <w:tcW w:w="1516" w:type="dxa"/>
            <w:gridSpan w:val="3"/>
          </w:tcPr>
          <w:p w:rsidR="002E5FF6" w:rsidRDefault="002E5FF6" w:rsidP="002E5FF6">
            <w:pPr>
              <w:jc w:val="right"/>
              <w:rPr>
                <w:b/>
                <w:sz w:val="20"/>
              </w:rPr>
            </w:pPr>
            <w:r w:rsidRPr="008B5FD4">
              <w:rPr>
                <w:b/>
                <w:sz w:val="20"/>
              </w:rPr>
              <w:t>Market Value at 1 April</w:t>
            </w:r>
          </w:p>
          <w:p w:rsidR="002E5FF6" w:rsidRPr="008B5FD4" w:rsidRDefault="002E5FF6" w:rsidP="002E5FF6">
            <w:pPr>
              <w:jc w:val="right"/>
              <w:rPr>
                <w:b/>
                <w:sz w:val="20"/>
              </w:rPr>
            </w:pPr>
            <w:r w:rsidRPr="008B5FD4">
              <w:rPr>
                <w:b/>
                <w:sz w:val="20"/>
              </w:rPr>
              <w:t xml:space="preserve"> 201</w:t>
            </w:r>
            <w:r>
              <w:rPr>
                <w:b/>
                <w:sz w:val="20"/>
              </w:rPr>
              <w:t>1</w:t>
            </w:r>
          </w:p>
        </w:tc>
        <w:tc>
          <w:tcPr>
            <w:tcW w:w="2229" w:type="dxa"/>
            <w:gridSpan w:val="4"/>
          </w:tcPr>
          <w:p w:rsidR="002E5FF6" w:rsidRPr="008B5FD4" w:rsidRDefault="002E5FF6" w:rsidP="002E5FF6">
            <w:pPr>
              <w:jc w:val="right"/>
              <w:rPr>
                <w:b/>
                <w:sz w:val="20"/>
              </w:rPr>
            </w:pPr>
            <w:r w:rsidRPr="008B5FD4">
              <w:rPr>
                <w:b/>
                <w:sz w:val="20"/>
              </w:rPr>
              <w:t>Purchases at cost and derivative payments</w:t>
            </w:r>
          </w:p>
        </w:tc>
        <w:tc>
          <w:tcPr>
            <w:tcW w:w="1836" w:type="dxa"/>
            <w:gridSpan w:val="2"/>
          </w:tcPr>
          <w:p w:rsidR="002E5FF6" w:rsidRPr="008B5FD4" w:rsidRDefault="002E5FF6" w:rsidP="002E5FF6">
            <w:pPr>
              <w:jc w:val="right"/>
              <w:rPr>
                <w:b/>
                <w:sz w:val="20"/>
              </w:rPr>
            </w:pPr>
            <w:r w:rsidRPr="008B5FD4">
              <w:rPr>
                <w:b/>
                <w:sz w:val="20"/>
              </w:rPr>
              <w:t>Sales proceeds and derivative receipts</w:t>
            </w:r>
          </w:p>
        </w:tc>
        <w:tc>
          <w:tcPr>
            <w:tcW w:w="1283" w:type="dxa"/>
          </w:tcPr>
          <w:p w:rsidR="002E5FF6" w:rsidRPr="008B5FD4" w:rsidRDefault="002E5FF6" w:rsidP="002E5FF6">
            <w:pPr>
              <w:jc w:val="right"/>
              <w:rPr>
                <w:b/>
                <w:sz w:val="20"/>
              </w:rPr>
            </w:pPr>
            <w:r w:rsidRPr="008B5FD4">
              <w:rPr>
                <w:b/>
                <w:sz w:val="20"/>
              </w:rPr>
              <w:t>Change in market value</w:t>
            </w:r>
          </w:p>
        </w:tc>
        <w:tc>
          <w:tcPr>
            <w:tcW w:w="1447" w:type="dxa"/>
            <w:gridSpan w:val="5"/>
          </w:tcPr>
          <w:p w:rsidR="00897DBF" w:rsidRDefault="002E5FF6">
            <w:pPr>
              <w:ind w:right="-46"/>
              <w:jc w:val="right"/>
              <w:rPr>
                <w:b/>
                <w:sz w:val="20"/>
              </w:rPr>
            </w:pPr>
            <w:r>
              <w:rPr>
                <w:b/>
                <w:sz w:val="20"/>
              </w:rPr>
              <w:t>Market value at 31 March 2012</w:t>
            </w:r>
          </w:p>
        </w:tc>
      </w:tr>
      <w:tr w:rsidR="002E5FF6" w:rsidRPr="000E6955" w:rsidTr="006229C6">
        <w:tc>
          <w:tcPr>
            <w:tcW w:w="2273" w:type="dxa"/>
          </w:tcPr>
          <w:p w:rsidR="002E5FF6" w:rsidRDefault="002E5FF6" w:rsidP="002E5FF6">
            <w:pPr>
              <w:rPr>
                <w:sz w:val="20"/>
              </w:rPr>
            </w:pP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Pr="00477A65" w:rsidRDefault="002E5FF6" w:rsidP="002E5FF6">
            <w:pPr>
              <w:jc w:val="right"/>
              <w:rPr>
                <w:b/>
                <w:sz w:val="20"/>
              </w:rPr>
            </w:pPr>
            <w:r w:rsidRPr="00477A65">
              <w:rPr>
                <w:b/>
                <w:sz w:val="20"/>
              </w:rPr>
              <w:t>£m</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r w:rsidRPr="00477A65">
              <w:rPr>
                <w:b/>
                <w:sz w:val="20"/>
              </w:rPr>
              <w:t>£m</w:t>
            </w: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r w:rsidRPr="00477A65">
              <w:rPr>
                <w:b/>
                <w:sz w:val="20"/>
              </w:rPr>
              <w:t>£m</w:t>
            </w:r>
          </w:p>
        </w:tc>
        <w:tc>
          <w:tcPr>
            <w:tcW w:w="1283" w:type="dxa"/>
            <w:tcBorders>
              <w:left w:val="single" w:sz="18" w:space="0" w:color="FFFFFF" w:themeColor="background1"/>
            </w:tcBorders>
          </w:tcPr>
          <w:p w:rsidR="002E5FF6" w:rsidRDefault="002E5FF6" w:rsidP="002E5FF6">
            <w:pPr>
              <w:jc w:val="right"/>
              <w:rPr>
                <w:sz w:val="20"/>
              </w:rPr>
            </w:pPr>
            <w:r w:rsidRPr="00477A65">
              <w:rPr>
                <w:b/>
                <w:sz w:val="20"/>
              </w:rPr>
              <w:t>£m</w:t>
            </w:r>
          </w:p>
        </w:tc>
        <w:tc>
          <w:tcPr>
            <w:tcW w:w="229" w:type="dxa"/>
            <w:tcBorders>
              <w:right w:val="single" w:sz="18" w:space="0" w:color="FFFFFF" w:themeColor="background1"/>
            </w:tcBorders>
          </w:tcPr>
          <w:p w:rsidR="002E5FF6" w:rsidRDefault="002E5FF6" w:rsidP="002E5FF6">
            <w:pPr>
              <w:jc w:val="right"/>
              <w:rPr>
                <w:sz w:val="20"/>
              </w:rPr>
            </w:pPr>
          </w:p>
        </w:tc>
        <w:tc>
          <w:tcPr>
            <w:tcW w:w="1218" w:type="dxa"/>
            <w:gridSpan w:val="4"/>
            <w:tcBorders>
              <w:left w:val="single" w:sz="18" w:space="0" w:color="FFFFFF" w:themeColor="background1"/>
            </w:tcBorders>
          </w:tcPr>
          <w:p w:rsidR="00897DBF" w:rsidRDefault="002E5FF6">
            <w:pPr>
              <w:ind w:right="-122"/>
              <w:jc w:val="right"/>
              <w:rPr>
                <w:sz w:val="20"/>
              </w:rPr>
            </w:pPr>
            <w:r w:rsidRPr="00477A65">
              <w:rPr>
                <w:b/>
                <w:sz w:val="20"/>
              </w:rPr>
              <w:t>£m</w:t>
            </w:r>
          </w:p>
        </w:tc>
      </w:tr>
      <w:tr w:rsidR="002E5FF6" w:rsidRPr="000E6955" w:rsidTr="006229C6">
        <w:trPr>
          <w:gridAfter w:val="1"/>
          <w:wAfter w:w="76" w:type="dxa"/>
        </w:trPr>
        <w:tc>
          <w:tcPr>
            <w:tcW w:w="2273" w:type="dxa"/>
          </w:tcPr>
          <w:p w:rsidR="002E5FF6" w:rsidRDefault="002E5FF6" w:rsidP="002E5FF6">
            <w:pPr>
              <w:rPr>
                <w:sz w:val="20"/>
              </w:rPr>
            </w:pP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229" w:type="dxa"/>
            <w:tcBorders>
              <w:right w:val="single" w:sz="18" w:space="0" w:color="FFFFFF" w:themeColor="background1"/>
            </w:tcBorders>
          </w:tcPr>
          <w:p w:rsidR="002E5FF6" w:rsidRDefault="002E5FF6" w:rsidP="002E5FF6">
            <w:pPr>
              <w:jc w:val="right"/>
              <w:rPr>
                <w:sz w:val="20"/>
              </w:rPr>
            </w:pPr>
          </w:p>
        </w:tc>
        <w:tc>
          <w:tcPr>
            <w:tcW w:w="1142" w:type="dxa"/>
            <w:gridSpan w:val="3"/>
            <w:tcBorders>
              <w:left w:val="single" w:sz="18" w:space="0" w:color="FFFFFF" w:themeColor="background1"/>
            </w:tcBorders>
          </w:tcPr>
          <w:p w:rsidR="002E5FF6" w:rsidRDefault="002E5FF6" w:rsidP="002E5FF6">
            <w:pPr>
              <w:jc w:val="right"/>
              <w:rPr>
                <w:sz w:val="20"/>
              </w:rPr>
            </w:pPr>
          </w:p>
        </w:tc>
      </w:tr>
      <w:tr w:rsidR="002E5FF6" w:rsidRPr="000E6955" w:rsidTr="006229C6">
        <w:trPr>
          <w:gridAfter w:val="1"/>
          <w:wAfter w:w="76" w:type="dxa"/>
          <w:trHeight w:val="170"/>
        </w:trPr>
        <w:tc>
          <w:tcPr>
            <w:tcW w:w="2273" w:type="dxa"/>
          </w:tcPr>
          <w:p w:rsidR="002E5FF6" w:rsidRPr="000E6955" w:rsidRDefault="002E5FF6" w:rsidP="002E5FF6">
            <w:pPr>
              <w:rPr>
                <w:sz w:val="20"/>
              </w:rPr>
            </w:pPr>
            <w:r>
              <w:rPr>
                <w:sz w:val="20"/>
              </w:rPr>
              <w:t>Fixed  interest securities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559.1</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r>
              <w:rPr>
                <w:sz w:val="20"/>
              </w:rPr>
              <w:t>696.0</w:t>
            </w: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r>
              <w:rPr>
                <w:sz w:val="20"/>
              </w:rPr>
              <w:t>(657.8)</w:t>
            </w:r>
          </w:p>
        </w:tc>
        <w:tc>
          <w:tcPr>
            <w:tcW w:w="1283" w:type="dxa"/>
            <w:tcBorders>
              <w:left w:val="single" w:sz="18" w:space="0" w:color="FFFFFF" w:themeColor="background1"/>
            </w:tcBorders>
          </w:tcPr>
          <w:p w:rsidR="002E5FF6" w:rsidRDefault="002E5FF6" w:rsidP="002E5FF6">
            <w:pPr>
              <w:jc w:val="right"/>
              <w:rPr>
                <w:sz w:val="20"/>
              </w:rPr>
            </w:pPr>
            <w:r>
              <w:rPr>
                <w:sz w:val="20"/>
              </w:rPr>
              <w:t>26.1</w:t>
            </w:r>
          </w:p>
        </w:tc>
        <w:tc>
          <w:tcPr>
            <w:tcW w:w="236" w:type="dxa"/>
            <w:gridSpan w:val="2"/>
            <w:tcBorders>
              <w:right w:val="single" w:sz="18" w:space="0" w:color="FFFFFF" w:themeColor="background1"/>
            </w:tcBorders>
          </w:tcPr>
          <w:p w:rsidR="002E5FF6" w:rsidRDefault="002E5FF6" w:rsidP="002E5FF6">
            <w:pPr>
              <w:jc w:val="right"/>
              <w:rPr>
                <w:sz w:val="20"/>
              </w:rPr>
            </w:pPr>
          </w:p>
        </w:tc>
        <w:tc>
          <w:tcPr>
            <w:tcW w:w="1135" w:type="dxa"/>
            <w:gridSpan w:val="2"/>
            <w:tcBorders>
              <w:left w:val="single" w:sz="18" w:space="0" w:color="FFFFFF" w:themeColor="background1"/>
            </w:tcBorders>
          </w:tcPr>
          <w:p w:rsidR="00897DBF" w:rsidRDefault="002E5FF6">
            <w:pPr>
              <w:ind w:right="-122"/>
              <w:jc w:val="right"/>
              <w:rPr>
                <w:sz w:val="20"/>
              </w:rPr>
            </w:pPr>
            <w:r>
              <w:rPr>
                <w:sz w:val="20"/>
              </w:rPr>
              <w:t>623.4</w:t>
            </w:r>
          </w:p>
        </w:tc>
      </w:tr>
      <w:tr w:rsidR="002E5FF6" w:rsidRPr="000E6955" w:rsidTr="006229C6">
        <w:trPr>
          <w:gridAfter w:val="1"/>
          <w:wAfter w:w="76" w:type="dxa"/>
          <w:trHeight w:val="170"/>
        </w:trPr>
        <w:tc>
          <w:tcPr>
            <w:tcW w:w="2273" w:type="dxa"/>
          </w:tcPr>
          <w:p w:rsidR="002E5FF6" w:rsidRDefault="002E5FF6" w:rsidP="002E5FF6">
            <w:pPr>
              <w:rPr>
                <w:sz w:val="20"/>
              </w:rPr>
            </w:pPr>
            <w:r>
              <w:rPr>
                <w:sz w:val="20"/>
              </w:rPr>
              <w:t>Equities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1,735.1</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r>
              <w:rPr>
                <w:sz w:val="20"/>
              </w:rPr>
              <w:t xml:space="preserve"> 401.0</w:t>
            </w: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r>
              <w:rPr>
                <w:sz w:val="20"/>
              </w:rPr>
              <w:t>(441.9)</w:t>
            </w:r>
          </w:p>
        </w:tc>
        <w:tc>
          <w:tcPr>
            <w:tcW w:w="1283" w:type="dxa"/>
            <w:tcBorders>
              <w:left w:val="single" w:sz="18" w:space="0" w:color="FFFFFF" w:themeColor="background1"/>
            </w:tcBorders>
          </w:tcPr>
          <w:p w:rsidR="002E5FF6" w:rsidRDefault="002E5FF6" w:rsidP="002E5FF6">
            <w:pPr>
              <w:jc w:val="right"/>
              <w:rPr>
                <w:sz w:val="20"/>
              </w:rPr>
            </w:pPr>
            <w:r>
              <w:rPr>
                <w:sz w:val="20"/>
              </w:rPr>
              <w:t>(80.5)</w:t>
            </w:r>
          </w:p>
        </w:tc>
        <w:tc>
          <w:tcPr>
            <w:tcW w:w="236" w:type="dxa"/>
            <w:gridSpan w:val="2"/>
            <w:tcBorders>
              <w:right w:val="single" w:sz="18" w:space="0" w:color="FFFFFF" w:themeColor="background1"/>
            </w:tcBorders>
          </w:tcPr>
          <w:p w:rsidR="002E5FF6" w:rsidRDefault="002E5FF6" w:rsidP="002E5FF6">
            <w:pPr>
              <w:jc w:val="right"/>
              <w:rPr>
                <w:sz w:val="20"/>
              </w:rPr>
            </w:pPr>
          </w:p>
        </w:tc>
        <w:tc>
          <w:tcPr>
            <w:tcW w:w="1135" w:type="dxa"/>
            <w:gridSpan w:val="2"/>
            <w:tcBorders>
              <w:left w:val="single" w:sz="18" w:space="0" w:color="FFFFFF" w:themeColor="background1"/>
            </w:tcBorders>
          </w:tcPr>
          <w:p w:rsidR="00897DBF" w:rsidRDefault="002E5FF6">
            <w:pPr>
              <w:ind w:right="-122"/>
              <w:jc w:val="right"/>
              <w:rPr>
                <w:sz w:val="20"/>
              </w:rPr>
            </w:pPr>
            <w:r>
              <w:rPr>
                <w:sz w:val="20"/>
              </w:rPr>
              <w:t>1,613.7</w:t>
            </w:r>
          </w:p>
        </w:tc>
      </w:tr>
      <w:tr w:rsidR="002E5FF6" w:rsidRPr="000E6955" w:rsidTr="006229C6">
        <w:trPr>
          <w:gridAfter w:val="1"/>
          <w:wAfter w:w="76" w:type="dxa"/>
          <w:trHeight w:val="170"/>
        </w:trPr>
        <w:tc>
          <w:tcPr>
            <w:tcW w:w="2273" w:type="dxa"/>
          </w:tcPr>
          <w:p w:rsidR="002E5FF6" w:rsidRDefault="002E5FF6" w:rsidP="002E5FF6">
            <w:pPr>
              <w:rPr>
                <w:sz w:val="20"/>
              </w:rPr>
            </w:pPr>
            <w:r>
              <w:rPr>
                <w:sz w:val="20"/>
              </w:rPr>
              <w:t>Index linked securities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141.0</w:t>
            </w:r>
          </w:p>
        </w:tc>
        <w:tc>
          <w:tcPr>
            <w:tcW w:w="293" w:type="dxa"/>
            <w:gridSpan w:val="2"/>
            <w:tcBorders>
              <w:right w:val="single" w:sz="18" w:space="0" w:color="FFFFFF" w:themeColor="background1"/>
            </w:tcBorders>
          </w:tcPr>
          <w:p w:rsidR="002E5FF6" w:rsidRPr="008A49FD" w:rsidRDefault="002E5FF6" w:rsidP="002E5FF6">
            <w:pPr>
              <w:pStyle w:val="ListParagraph"/>
              <w:ind w:left="0"/>
              <w:jc w:val="center"/>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r>
              <w:rPr>
                <w:sz w:val="20"/>
              </w:rPr>
              <w:t>120.9</w:t>
            </w: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r>
              <w:rPr>
                <w:sz w:val="20"/>
              </w:rPr>
              <w:t>(159.1)</w:t>
            </w:r>
          </w:p>
        </w:tc>
        <w:tc>
          <w:tcPr>
            <w:tcW w:w="1283" w:type="dxa"/>
            <w:tcBorders>
              <w:left w:val="single" w:sz="18" w:space="0" w:color="FFFFFF" w:themeColor="background1"/>
            </w:tcBorders>
          </w:tcPr>
          <w:p w:rsidR="002E5FF6" w:rsidRDefault="002E5FF6" w:rsidP="002E5FF6">
            <w:pPr>
              <w:jc w:val="right"/>
              <w:rPr>
                <w:sz w:val="20"/>
              </w:rPr>
            </w:pPr>
            <w:r>
              <w:rPr>
                <w:sz w:val="20"/>
              </w:rPr>
              <w:t>21.8</w:t>
            </w:r>
          </w:p>
        </w:tc>
        <w:tc>
          <w:tcPr>
            <w:tcW w:w="236" w:type="dxa"/>
            <w:gridSpan w:val="2"/>
            <w:tcBorders>
              <w:right w:val="single" w:sz="18" w:space="0" w:color="FFFFFF" w:themeColor="background1"/>
            </w:tcBorders>
          </w:tcPr>
          <w:p w:rsidR="002E5FF6" w:rsidRDefault="002E5FF6" w:rsidP="002E5FF6">
            <w:pPr>
              <w:jc w:val="right"/>
              <w:rPr>
                <w:sz w:val="20"/>
              </w:rPr>
            </w:pPr>
          </w:p>
        </w:tc>
        <w:tc>
          <w:tcPr>
            <w:tcW w:w="1135" w:type="dxa"/>
            <w:gridSpan w:val="2"/>
            <w:tcBorders>
              <w:left w:val="single" w:sz="18" w:space="0" w:color="FFFFFF" w:themeColor="background1"/>
            </w:tcBorders>
          </w:tcPr>
          <w:p w:rsidR="00897DBF" w:rsidRDefault="002E5FF6">
            <w:pPr>
              <w:ind w:right="-122"/>
              <w:jc w:val="right"/>
              <w:rPr>
                <w:sz w:val="20"/>
              </w:rPr>
            </w:pPr>
            <w:r>
              <w:rPr>
                <w:sz w:val="20"/>
              </w:rPr>
              <w:t>124.6</w:t>
            </w:r>
          </w:p>
        </w:tc>
      </w:tr>
      <w:tr w:rsidR="002E5FF6" w:rsidRPr="000E6955" w:rsidTr="006229C6">
        <w:trPr>
          <w:gridAfter w:val="1"/>
          <w:wAfter w:w="76" w:type="dxa"/>
          <w:trHeight w:val="170"/>
        </w:trPr>
        <w:tc>
          <w:tcPr>
            <w:tcW w:w="2273" w:type="dxa"/>
          </w:tcPr>
          <w:p w:rsidR="002E5FF6" w:rsidRDefault="002E5FF6" w:rsidP="002E5FF6">
            <w:pPr>
              <w:rPr>
                <w:sz w:val="20"/>
              </w:rPr>
            </w:pPr>
            <w:r>
              <w:rPr>
                <w:sz w:val="20"/>
              </w:rPr>
              <w:t>Pooled investments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1,395.5</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r>
              <w:rPr>
                <w:sz w:val="20"/>
              </w:rPr>
              <w:t>399.2</w:t>
            </w: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r>
              <w:rPr>
                <w:sz w:val="20"/>
              </w:rPr>
              <w:t>(359.6)</w:t>
            </w:r>
          </w:p>
        </w:tc>
        <w:tc>
          <w:tcPr>
            <w:tcW w:w="1283" w:type="dxa"/>
            <w:tcBorders>
              <w:left w:val="single" w:sz="18" w:space="0" w:color="FFFFFF" w:themeColor="background1"/>
            </w:tcBorders>
          </w:tcPr>
          <w:p w:rsidR="002E5FF6" w:rsidRDefault="002E5FF6" w:rsidP="002E5FF6">
            <w:pPr>
              <w:jc w:val="right"/>
              <w:rPr>
                <w:sz w:val="20"/>
              </w:rPr>
            </w:pPr>
            <w:r>
              <w:rPr>
                <w:sz w:val="20"/>
              </w:rPr>
              <w:t>31.2</w:t>
            </w:r>
          </w:p>
        </w:tc>
        <w:tc>
          <w:tcPr>
            <w:tcW w:w="236" w:type="dxa"/>
            <w:gridSpan w:val="2"/>
            <w:tcBorders>
              <w:right w:val="single" w:sz="18" w:space="0" w:color="FFFFFF" w:themeColor="background1"/>
            </w:tcBorders>
          </w:tcPr>
          <w:p w:rsidR="002E5FF6" w:rsidRDefault="002E5FF6" w:rsidP="002E5FF6">
            <w:pPr>
              <w:jc w:val="right"/>
              <w:rPr>
                <w:sz w:val="20"/>
              </w:rPr>
            </w:pPr>
          </w:p>
        </w:tc>
        <w:tc>
          <w:tcPr>
            <w:tcW w:w="1135" w:type="dxa"/>
            <w:gridSpan w:val="2"/>
            <w:tcBorders>
              <w:left w:val="single" w:sz="18" w:space="0" w:color="FFFFFF" w:themeColor="background1"/>
            </w:tcBorders>
          </w:tcPr>
          <w:p w:rsidR="00897DBF" w:rsidRDefault="002E5FF6">
            <w:pPr>
              <w:ind w:right="-122"/>
              <w:jc w:val="right"/>
              <w:rPr>
                <w:sz w:val="20"/>
              </w:rPr>
            </w:pPr>
            <w:r>
              <w:rPr>
                <w:sz w:val="20"/>
              </w:rPr>
              <w:t>1,466.3</w:t>
            </w:r>
          </w:p>
        </w:tc>
      </w:tr>
      <w:tr w:rsidR="002E5FF6" w:rsidRPr="000E6955" w:rsidTr="006229C6">
        <w:trPr>
          <w:gridAfter w:val="1"/>
          <w:wAfter w:w="76" w:type="dxa"/>
          <w:trHeight w:val="170"/>
        </w:trPr>
        <w:tc>
          <w:tcPr>
            <w:tcW w:w="2273" w:type="dxa"/>
          </w:tcPr>
          <w:p w:rsidR="002E5FF6" w:rsidRDefault="002E5FF6" w:rsidP="002E5FF6">
            <w:pPr>
              <w:rPr>
                <w:sz w:val="20"/>
              </w:rPr>
            </w:pPr>
            <w:r>
              <w:rPr>
                <w:sz w:val="20"/>
              </w:rPr>
              <w:t>Property</w:t>
            </w:r>
          </w:p>
        </w:tc>
        <w:tc>
          <w:tcPr>
            <w:tcW w:w="360" w:type="dxa"/>
            <w:tcBorders>
              <w:bottom w:val="single" w:sz="18" w:space="0" w:color="auto"/>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bottom w:val="single" w:sz="18" w:space="0" w:color="auto"/>
            </w:tcBorders>
          </w:tcPr>
          <w:p w:rsidR="002E5FF6" w:rsidRDefault="002E5FF6" w:rsidP="002E5FF6">
            <w:pPr>
              <w:jc w:val="right"/>
              <w:rPr>
                <w:sz w:val="20"/>
              </w:rPr>
            </w:pPr>
            <w:r>
              <w:rPr>
                <w:sz w:val="20"/>
              </w:rPr>
              <w:t>397.5</w:t>
            </w:r>
          </w:p>
        </w:tc>
        <w:tc>
          <w:tcPr>
            <w:tcW w:w="293" w:type="dxa"/>
            <w:gridSpan w:val="2"/>
            <w:tcBorders>
              <w:bottom w:val="single" w:sz="18" w:space="0" w:color="auto"/>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bottom w:val="single" w:sz="18" w:space="0" w:color="auto"/>
            </w:tcBorders>
          </w:tcPr>
          <w:p w:rsidR="002E5FF6" w:rsidRDefault="002E5FF6" w:rsidP="002E5FF6">
            <w:pPr>
              <w:jc w:val="right"/>
              <w:rPr>
                <w:sz w:val="20"/>
              </w:rPr>
            </w:pPr>
          </w:p>
        </w:tc>
        <w:tc>
          <w:tcPr>
            <w:tcW w:w="884" w:type="dxa"/>
            <w:tcBorders>
              <w:bottom w:val="single" w:sz="18" w:space="0" w:color="auto"/>
              <w:right w:val="single" w:sz="18" w:space="0" w:color="FFFFFF" w:themeColor="background1"/>
            </w:tcBorders>
          </w:tcPr>
          <w:p w:rsidR="002E5FF6" w:rsidRDefault="002E5FF6" w:rsidP="002E5FF6">
            <w:pPr>
              <w:jc w:val="right"/>
              <w:rPr>
                <w:sz w:val="20"/>
              </w:rPr>
            </w:pPr>
            <w:r>
              <w:rPr>
                <w:sz w:val="20"/>
              </w:rPr>
              <w:t xml:space="preserve">  24.2</w:t>
            </w:r>
          </w:p>
        </w:tc>
        <w:tc>
          <w:tcPr>
            <w:tcW w:w="906" w:type="dxa"/>
            <w:gridSpan w:val="2"/>
            <w:tcBorders>
              <w:left w:val="single" w:sz="18" w:space="0" w:color="FFFFFF" w:themeColor="background1"/>
              <w:bottom w:val="single" w:sz="18" w:space="0" w:color="auto"/>
            </w:tcBorders>
          </w:tcPr>
          <w:p w:rsidR="002E5FF6" w:rsidRDefault="002E5FF6" w:rsidP="002E5FF6">
            <w:pPr>
              <w:jc w:val="right"/>
              <w:rPr>
                <w:sz w:val="20"/>
              </w:rPr>
            </w:pPr>
          </w:p>
        </w:tc>
        <w:tc>
          <w:tcPr>
            <w:tcW w:w="1017" w:type="dxa"/>
            <w:tcBorders>
              <w:bottom w:val="single" w:sz="18" w:space="0" w:color="auto"/>
              <w:right w:val="single" w:sz="18" w:space="0" w:color="FFFFFF" w:themeColor="background1"/>
            </w:tcBorders>
          </w:tcPr>
          <w:p w:rsidR="002E5FF6" w:rsidRDefault="002E5FF6" w:rsidP="002E5FF6">
            <w:pPr>
              <w:jc w:val="right"/>
              <w:rPr>
                <w:sz w:val="20"/>
              </w:rPr>
            </w:pPr>
            <w:r>
              <w:rPr>
                <w:sz w:val="20"/>
              </w:rPr>
              <w:t>(34.1)</w:t>
            </w:r>
          </w:p>
        </w:tc>
        <w:tc>
          <w:tcPr>
            <w:tcW w:w="1283" w:type="dxa"/>
            <w:tcBorders>
              <w:left w:val="single" w:sz="18" w:space="0" w:color="FFFFFF" w:themeColor="background1"/>
              <w:bottom w:val="single" w:sz="18" w:space="0" w:color="auto"/>
            </w:tcBorders>
          </w:tcPr>
          <w:p w:rsidR="002E5FF6" w:rsidRDefault="002E5FF6" w:rsidP="002E5FF6">
            <w:pPr>
              <w:jc w:val="right"/>
              <w:rPr>
                <w:sz w:val="20"/>
              </w:rPr>
            </w:pPr>
            <w:r>
              <w:rPr>
                <w:sz w:val="20"/>
              </w:rPr>
              <w:t>(3.7)</w:t>
            </w:r>
          </w:p>
        </w:tc>
        <w:tc>
          <w:tcPr>
            <w:tcW w:w="236" w:type="dxa"/>
            <w:gridSpan w:val="2"/>
            <w:tcBorders>
              <w:bottom w:val="single" w:sz="18" w:space="0" w:color="auto"/>
              <w:right w:val="single" w:sz="18" w:space="0" w:color="FFFFFF" w:themeColor="background1"/>
            </w:tcBorders>
          </w:tcPr>
          <w:p w:rsidR="002E5FF6" w:rsidRDefault="002E5FF6" w:rsidP="002E5FF6">
            <w:pPr>
              <w:jc w:val="right"/>
              <w:rPr>
                <w:sz w:val="20"/>
              </w:rPr>
            </w:pPr>
          </w:p>
        </w:tc>
        <w:tc>
          <w:tcPr>
            <w:tcW w:w="1135" w:type="dxa"/>
            <w:gridSpan w:val="2"/>
            <w:tcBorders>
              <w:left w:val="single" w:sz="18" w:space="0" w:color="FFFFFF" w:themeColor="background1"/>
              <w:bottom w:val="single" w:sz="18" w:space="0" w:color="auto"/>
            </w:tcBorders>
          </w:tcPr>
          <w:p w:rsidR="00897DBF" w:rsidRDefault="002E5FF6">
            <w:pPr>
              <w:ind w:right="-122"/>
              <w:jc w:val="right"/>
              <w:rPr>
                <w:sz w:val="20"/>
              </w:rPr>
            </w:pPr>
            <w:r>
              <w:rPr>
                <w:sz w:val="20"/>
              </w:rPr>
              <w:t>383.9</w:t>
            </w:r>
          </w:p>
        </w:tc>
      </w:tr>
      <w:tr w:rsidR="002E5FF6" w:rsidRPr="000E6955" w:rsidTr="006229C6">
        <w:trPr>
          <w:trHeight w:val="170"/>
        </w:trPr>
        <w:tc>
          <w:tcPr>
            <w:tcW w:w="2273" w:type="dxa"/>
          </w:tcPr>
          <w:p w:rsidR="002E5FF6" w:rsidRDefault="002E5FF6" w:rsidP="002E5FF6">
            <w:pPr>
              <w:rPr>
                <w:sz w:val="20"/>
              </w:rPr>
            </w:pPr>
          </w:p>
        </w:tc>
        <w:tc>
          <w:tcPr>
            <w:tcW w:w="360" w:type="dxa"/>
            <w:tcBorders>
              <w:top w:val="single" w:sz="18" w:space="0" w:color="auto"/>
              <w:right w:val="single" w:sz="18" w:space="0" w:color="FFFFFF" w:themeColor="background1"/>
            </w:tcBorders>
          </w:tcPr>
          <w:p w:rsidR="002E5FF6" w:rsidRDefault="002E5FF6" w:rsidP="002E5FF6">
            <w:pPr>
              <w:jc w:val="right"/>
              <w:rPr>
                <w:sz w:val="20"/>
              </w:rPr>
            </w:pPr>
          </w:p>
        </w:tc>
        <w:tc>
          <w:tcPr>
            <w:tcW w:w="973" w:type="dxa"/>
            <w:tcBorders>
              <w:top w:val="single" w:sz="18" w:space="0" w:color="auto"/>
              <w:left w:val="single" w:sz="18" w:space="0" w:color="FFFFFF" w:themeColor="background1"/>
            </w:tcBorders>
          </w:tcPr>
          <w:p w:rsidR="002E5FF6" w:rsidRDefault="002E5FF6" w:rsidP="002E5FF6">
            <w:pPr>
              <w:jc w:val="right"/>
              <w:rPr>
                <w:sz w:val="20"/>
              </w:rPr>
            </w:pPr>
            <w:r>
              <w:rPr>
                <w:sz w:val="20"/>
              </w:rPr>
              <w:t>4,228.2</w:t>
            </w:r>
          </w:p>
        </w:tc>
        <w:tc>
          <w:tcPr>
            <w:tcW w:w="293" w:type="dxa"/>
            <w:gridSpan w:val="2"/>
            <w:tcBorders>
              <w:top w:val="single" w:sz="18" w:space="0" w:color="auto"/>
              <w:right w:val="single" w:sz="18" w:space="0" w:color="FFFFFF" w:themeColor="background1"/>
            </w:tcBorders>
          </w:tcPr>
          <w:p w:rsidR="002E5FF6" w:rsidRDefault="002E5FF6" w:rsidP="002E5FF6">
            <w:pPr>
              <w:jc w:val="right"/>
              <w:rPr>
                <w:sz w:val="20"/>
              </w:rPr>
            </w:pPr>
          </w:p>
        </w:tc>
        <w:tc>
          <w:tcPr>
            <w:tcW w:w="1148" w:type="dxa"/>
            <w:tcBorders>
              <w:top w:val="single" w:sz="18" w:space="0" w:color="auto"/>
              <w:left w:val="single" w:sz="18" w:space="0" w:color="FFFFFF" w:themeColor="background1"/>
            </w:tcBorders>
          </w:tcPr>
          <w:p w:rsidR="002E5FF6" w:rsidRDefault="002E5FF6" w:rsidP="002E5FF6">
            <w:pPr>
              <w:jc w:val="right"/>
              <w:rPr>
                <w:sz w:val="20"/>
              </w:rPr>
            </w:pPr>
          </w:p>
        </w:tc>
        <w:tc>
          <w:tcPr>
            <w:tcW w:w="884" w:type="dxa"/>
            <w:tcBorders>
              <w:top w:val="single" w:sz="18" w:space="0" w:color="auto"/>
              <w:right w:val="single" w:sz="18" w:space="0" w:color="FFFFFF" w:themeColor="background1"/>
            </w:tcBorders>
          </w:tcPr>
          <w:p w:rsidR="002E5FF6" w:rsidRDefault="002E5FF6" w:rsidP="002E5FF6">
            <w:pPr>
              <w:jc w:val="right"/>
              <w:rPr>
                <w:sz w:val="20"/>
              </w:rPr>
            </w:pPr>
            <w:r>
              <w:rPr>
                <w:sz w:val="20"/>
              </w:rPr>
              <w:t>1,641.3</w:t>
            </w:r>
          </w:p>
        </w:tc>
        <w:tc>
          <w:tcPr>
            <w:tcW w:w="906" w:type="dxa"/>
            <w:gridSpan w:val="2"/>
            <w:tcBorders>
              <w:top w:val="single" w:sz="18" w:space="0" w:color="auto"/>
              <w:left w:val="single" w:sz="18" w:space="0" w:color="FFFFFF" w:themeColor="background1"/>
            </w:tcBorders>
          </w:tcPr>
          <w:p w:rsidR="002E5FF6" w:rsidRDefault="002E5FF6" w:rsidP="002E5FF6">
            <w:pPr>
              <w:jc w:val="right"/>
              <w:rPr>
                <w:sz w:val="20"/>
              </w:rPr>
            </w:pPr>
          </w:p>
        </w:tc>
        <w:tc>
          <w:tcPr>
            <w:tcW w:w="1017" w:type="dxa"/>
            <w:tcBorders>
              <w:top w:val="single" w:sz="18" w:space="0" w:color="auto"/>
              <w:right w:val="single" w:sz="18" w:space="0" w:color="FFFFFF" w:themeColor="background1"/>
            </w:tcBorders>
          </w:tcPr>
          <w:p w:rsidR="002E5FF6" w:rsidRDefault="002E5FF6" w:rsidP="002E5FF6">
            <w:pPr>
              <w:jc w:val="right"/>
              <w:rPr>
                <w:sz w:val="20"/>
              </w:rPr>
            </w:pPr>
            <w:r>
              <w:rPr>
                <w:sz w:val="20"/>
              </w:rPr>
              <w:t>(1,652.5)</w:t>
            </w:r>
          </w:p>
        </w:tc>
        <w:tc>
          <w:tcPr>
            <w:tcW w:w="1283" w:type="dxa"/>
            <w:tcBorders>
              <w:top w:val="single" w:sz="18" w:space="0" w:color="auto"/>
              <w:left w:val="single" w:sz="18" w:space="0" w:color="FFFFFF" w:themeColor="background1"/>
            </w:tcBorders>
          </w:tcPr>
          <w:p w:rsidR="002E5FF6" w:rsidRDefault="002E5FF6" w:rsidP="002E5FF6">
            <w:pPr>
              <w:jc w:val="right"/>
              <w:rPr>
                <w:sz w:val="20"/>
              </w:rPr>
            </w:pPr>
            <w:r>
              <w:rPr>
                <w:sz w:val="20"/>
              </w:rPr>
              <w:t>(5.1)</w:t>
            </w:r>
          </w:p>
        </w:tc>
        <w:tc>
          <w:tcPr>
            <w:tcW w:w="327" w:type="dxa"/>
            <w:gridSpan w:val="3"/>
            <w:tcBorders>
              <w:top w:val="single" w:sz="18" w:space="0" w:color="auto"/>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1120" w:type="dxa"/>
            <w:gridSpan w:val="2"/>
            <w:tcBorders>
              <w:top w:val="single" w:sz="18" w:space="0" w:color="auto"/>
              <w:left w:val="single" w:sz="18" w:space="0" w:color="FFFFFF" w:themeColor="background1"/>
            </w:tcBorders>
          </w:tcPr>
          <w:p w:rsidR="00897DBF" w:rsidRDefault="002E5FF6">
            <w:pPr>
              <w:ind w:right="-56"/>
              <w:jc w:val="right"/>
              <w:rPr>
                <w:sz w:val="20"/>
              </w:rPr>
            </w:pPr>
            <w:r>
              <w:rPr>
                <w:sz w:val="20"/>
              </w:rPr>
              <w:t>4,211.9</w:t>
            </w:r>
          </w:p>
          <w:p w:rsidR="002E5FF6" w:rsidRDefault="002E5FF6" w:rsidP="002E5FF6">
            <w:pPr>
              <w:jc w:val="right"/>
              <w:rPr>
                <w:sz w:val="20"/>
              </w:rPr>
            </w:pPr>
          </w:p>
        </w:tc>
      </w:tr>
      <w:tr w:rsidR="002E5FF6" w:rsidRPr="000E6955" w:rsidTr="006229C6">
        <w:trPr>
          <w:trHeight w:val="170"/>
        </w:trPr>
        <w:tc>
          <w:tcPr>
            <w:tcW w:w="2273" w:type="dxa"/>
          </w:tcPr>
          <w:p w:rsidR="002E5FF6" w:rsidRDefault="002E5FF6" w:rsidP="002E5FF6">
            <w:pPr>
              <w:rPr>
                <w:sz w:val="20"/>
              </w:rPr>
            </w:pPr>
            <w:r>
              <w:rPr>
                <w:sz w:val="20"/>
              </w:rPr>
              <w:t>Derivative contracts:</w:t>
            </w:r>
          </w:p>
          <w:p w:rsidR="002E5FF6" w:rsidRDefault="002E5FF6" w:rsidP="002E5FF6">
            <w:pPr>
              <w:rPr>
                <w:sz w:val="20"/>
              </w:rPr>
            </w:pPr>
            <w:r>
              <w:rPr>
                <w:sz w:val="20"/>
              </w:rPr>
              <w:t>Futures</w:t>
            </w:r>
          </w:p>
        </w:tc>
        <w:tc>
          <w:tcPr>
            <w:tcW w:w="360" w:type="dxa"/>
            <w:tcBorders>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r>
              <w:rPr>
                <w:sz w:val="20"/>
              </w:rPr>
              <w:t>0.9</w:t>
            </w:r>
          </w:p>
        </w:tc>
        <w:tc>
          <w:tcPr>
            <w:tcW w:w="293" w:type="dxa"/>
            <w:gridSpan w:val="2"/>
            <w:tcBorders>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r>
              <w:rPr>
                <w:sz w:val="20"/>
              </w:rPr>
              <w:t>41.4</w:t>
            </w:r>
          </w:p>
        </w:tc>
        <w:tc>
          <w:tcPr>
            <w:tcW w:w="906" w:type="dxa"/>
            <w:gridSpan w:val="2"/>
            <w:tcBorders>
              <w:lef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r>
              <w:rPr>
                <w:sz w:val="20"/>
              </w:rPr>
              <w:t>(39.3)</w:t>
            </w:r>
          </w:p>
        </w:tc>
        <w:tc>
          <w:tcPr>
            <w:tcW w:w="1283" w:type="dxa"/>
            <w:tcBorders>
              <w:lef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r>
              <w:rPr>
                <w:sz w:val="20"/>
              </w:rPr>
              <w:t>(2.8)</w:t>
            </w:r>
          </w:p>
        </w:tc>
        <w:tc>
          <w:tcPr>
            <w:tcW w:w="327" w:type="dxa"/>
            <w:gridSpan w:val="3"/>
            <w:tcBorders>
              <w:righ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p>
        </w:tc>
        <w:tc>
          <w:tcPr>
            <w:tcW w:w="1120" w:type="dxa"/>
            <w:gridSpan w:val="2"/>
            <w:tcBorders>
              <w:left w:val="single" w:sz="18" w:space="0" w:color="FFFFFF" w:themeColor="background1"/>
            </w:tcBorders>
          </w:tcPr>
          <w:p w:rsidR="002E5FF6" w:rsidRDefault="002E5FF6" w:rsidP="002E5FF6">
            <w:pPr>
              <w:jc w:val="right"/>
              <w:rPr>
                <w:sz w:val="20"/>
              </w:rPr>
            </w:pPr>
          </w:p>
          <w:p w:rsidR="002E5FF6" w:rsidRDefault="002E5FF6" w:rsidP="002E5FF6">
            <w:pPr>
              <w:jc w:val="right"/>
              <w:rPr>
                <w:sz w:val="20"/>
              </w:rPr>
            </w:pPr>
            <w:r>
              <w:rPr>
                <w:sz w:val="20"/>
              </w:rPr>
              <w:t>0.2</w:t>
            </w:r>
          </w:p>
        </w:tc>
      </w:tr>
      <w:tr w:rsidR="002E5FF6" w:rsidRPr="000E6955" w:rsidTr="006229C6">
        <w:trPr>
          <w:trHeight w:val="170"/>
        </w:trPr>
        <w:tc>
          <w:tcPr>
            <w:tcW w:w="2273" w:type="dxa"/>
          </w:tcPr>
          <w:p w:rsidR="002E5FF6" w:rsidRDefault="002E5FF6" w:rsidP="002E5FF6">
            <w:pPr>
              <w:rPr>
                <w:sz w:val="20"/>
              </w:rPr>
            </w:pPr>
            <w:r>
              <w:rPr>
                <w:sz w:val="20"/>
              </w:rPr>
              <w:t>Forward currency contracts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0.9</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327" w:type="dxa"/>
            <w:gridSpan w:val="3"/>
            <w:tcBorders>
              <w:right w:val="single" w:sz="18" w:space="0" w:color="FFFFFF" w:themeColor="background1"/>
            </w:tcBorders>
          </w:tcPr>
          <w:p w:rsidR="002E5FF6" w:rsidRDefault="002E5FF6" w:rsidP="002E5FF6">
            <w:pPr>
              <w:jc w:val="right"/>
              <w:rPr>
                <w:sz w:val="20"/>
              </w:rPr>
            </w:pPr>
          </w:p>
        </w:tc>
        <w:tc>
          <w:tcPr>
            <w:tcW w:w="1120" w:type="dxa"/>
            <w:gridSpan w:val="2"/>
            <w:tcBorders>
              <w:left w:val="single" w:sz="18" w:space="0" w:color="FFFFFF" w:themeColor="background1"/>
            </w:tcBorders>
          </w:tcPr>
          <w:p w:rsidR="002E5FF6" w:rsidRDefault="002E5FF6" w:rsidP="002E5FF6">
            <w:pPr>
              <w:jc w:val="right"/>
              <w:rPr>
                <w:sz w:val="20"/>
              </w:rPr>
            </w:pPr>
            <w:r>
              <w:rPr>
                <w:sz w:val="20"/>
              </w:rPr>
              <w:t>1.6</w:t>
            </w:r>
          </w:p>
        </w:tc>
      </w:tr>
      <w:tr w:rsidR="002E5FF6" w:rsidRPr="000E6955" w:rsidTr="006229C6">
        <w:tc>
          <w:tcPr>
            <w:tcW w:w="2273" w:type="dxa"/>
          </w:tcPr>
          <w:p w:rsidR="002E5FF6" w:rsidRDefault="002E5FF6" w:rsidP="002E5FF6">
            <w:pPr>
              <w:rPr>
                <w:sz w:val="20"/>
              </w:rPr>
            </w:pP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327" w:type="dxa"/>
            <w:gridSpan w:val="3"/>
            <w:tcBorders>
              <w:right w:val="single" w:sz="18" w:space="0" w:color="FFFFFF" w:themeColor="background1"/>
            </w:tcBorders>
          </w:tcPr>
          <w:p w:rsidR="002E5FF6" w:rsidRDefault="002E5FF6" w:rsidP="002E5FF6">
            <w:pPr>
              <w:jc w:val="right"/>
              <w:rPr>
                <w:sz w:val="20"/>
              </w:rPr>
            </w:pPr>
          </w:p>
        </w:tc>
        <w:tc>
          <w:tcPr>
            <w:tcW w:w="1120" w:type="dxa"/>
            <w:gridSpan w:val="2"/>
            <w:tcBorders>
              <w:left w:val="single" w:sz="18" w:space="0" w:color="FFFFFF" w:themeColor="background1"/>
            </w:tcBorders>
          </w:tcPr>
          <w:p w:rsidR="002E5FF6" w:rsidRDefault="002E5FF6" w:rsidP="002E5FF6">
            <w:pPr>
              <w:jc w:val="right"/>
              <w:rPr>
                <w:sz w:val="20"/>
              </w:rPr>
            </w:pPr>
          </w:p>
        </w:tc>
      </w:tr>
      <w:tr w:rsidR="002E5FF6" w:rsidRPr="000E6955" w:rsidTr="006229C6">
        <w:tc>
          <w:tcPr>
            <w:tcW w:w="2273" w:type="dxa"/>
          </w:tcPr>
          <w:p w:rsidR="002E5FF6" w:rsidRDefault="002E5FF6" w:rsidP="002E5FF6">
            <w:pPr>
              <w:rPr>
                <w:sz w:val="20"/>
              </w:rPr>
            </w:pPr>
            <w:r>
              <w:rPr>
                <w:sz w:val="20"/>
              </w:rPr>
              <w:t>Cash deposits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36.6</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327" w:type="dxa"/>
            <w:gridSpan w:val="3"/>
            <w:tcBorders>
              <w:right w:val="single" w:sz="18" w:space="0" w:color="FFFFFF" w:themeColor="background1"/>
            </w:tcBorders>
          </w:tcPr>
          <w:p w:rsidR="002E5FF6" w:rsidRDefault="002E5FF6" w:rsidP="002E5FF6">
            <w:pPr>
              <w:jc w:val="right"/>
              <w:rPr>
                <w:sz w:val="20"/>
              </w:rPr>
            </w:pPr>
          </w:p>
        </w:tc>
        <w:tc>
          <w:tcPr>
            <w:tcW w:w="1120" w:type="dxa"/>
            <w:gridSpan w:val="2"/>
            <w:tcBorders>
              <w:left w:val="single" w:sz="18" w:space="0" w:color="FFFFFF" w:themeColor="background1"/>
            </w:tcBorders>
          </w:tcPr>
          <w:p w:rsidR="002E5FF6" w:rsidRDefault="002E5FF6" w:rsidP="002E5FF6">
            <w:pPr>
              <w:jc w:val="right"/>
              <w:rPr>
                <w:sz w:val="20"/>
              </w:rPr>
            </w:pPr>
            <w:r>
              <w:rPr>
                <w:sz w:val="20"/>
              </w:rPr>
              <w:t>126.8</w:t>
            </w:r>
          </w:p>
        </w:tc>
      </w:tr>
      <w:tr w:rsidR="002E5FF6" w:rsidRPr="000E6955" w:rsidTr="004B380D">
        <w:tc>
          <w:tcPr>
            <w:tcW w:w="2273" w:type="dxa"/>
          </w:tcPr>
          <w:p w:rsidR="002E5FF6" w:rsidRDefault="002E5FF6" w:rsidP="002E5FF6">
            <w:pPr>
              <w:rPr>
                <w:sz w:val="20"/>
              </w:rPr>
            </w:pPr>
            <w:r>
              <w:rPr>
                <w:sz w:val="20"/>
              </w:rPr>
              <w:t>Investment accruals</w:t>
            </w:r>
          </w:p>
        </w:tc>
        <w:tc>
          <w:tcPr>
            <w:tcW w:w="360" w:type="dxa"/>
            <w:tcBorders>
              <w:right w:val="single" w:sz="18" w:space="0" w:color="FFFFFF" w:themeColor="background1"/>
            </w:tcBorders>
          </w:tcPr>
          <w:p w:rsidR="002E5FF6" w:rsidRDefault="002E5FF6" w:rsidP="002E5FF6">
            <w:pPr>
              <w:jc w:val="right"/>
              <w:rPr>
                <w:sz w:val="20"/>
              </w:rPr>
            </w:pPr>
          </w:p>
        </w:tc>
        <w:tc>
          <w:tcPr>
            <w:tcW w:w="973" w:type="dxa"/>
            <w:tcBorders>
              <w:left w:val="single" w:sz="18" w:space="0" w:color="FFFFFF" w:themeColor="background1"/>
            </w:tcBorders>
          </w:tcPr>
          <w:p w:rsidR="002E5FF6" w:rsidRDefault="002E5FF6" w:rsidP="002E5FF6">
            <w:pPr>
              <w:jc w:val="right"/>
              <w:rPr>
                <w:sz w:val="20"/>
              </w:rPr>
            </w:pPr>
            <w:r>
              <w:rPr>
                <w:sz w:val="20"/>
              </w:rPr>
              <w:t>14.6</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327" w:type="dxa"/>
            <w:gridSpan w:val="3"/>
            <w:tcBorders>
              <w:right w:val="single" w:sz="18" w:space="0" w:color="FFFFFF" w:themeColor="background1"/>
            </w:tcBorders>
          </w:tcPr>
          <w:p w:rsidR="002E5FF6" w:rsidRDefault="002E5FF6" w:rsidP="002E5FF6">
            <w:pPr>
              <w:jc w:val="right"/>
              <w:rPr>
                <w:sz w:val="20"/>
              </w:rPr>
            </w:pPr>
          </w:p>
        </w:tc>
        <w:tc>
          <w:tcPr>
            <w:tcW w:w="1120" w:type="dxa"/>
            <w:gridSpan w:val="2"/>
            <w:tcBorders>
              <w:left w:val="single" w:sz="18" w:space="0" w:color="FFFFFF" w:themeColor="background1"/>
              <w:bottom w:val="single" w:sz="18" w:space="0" w:color="auto"/>
            </w:tcBorders>
          </w:tcPr>
          <w:p w:rsidR="002E5FF6" w:rsidRDefault="002E5FF6" w:rsidP="002E5FF6">
            <w:pPr>
              <w:jc w:val="right"/>
              <w:rPr>
                <w:sz w:val="20"/>
              </w:rPr>
            </w:pPr>
            <w:r>
              <w:rPr>
                <w:sz w:val="20"/>
              </w:rPr>
              <w:t>19.4</w:t>
            </w:r>
          </w:p>
        </w:tc>
      </w:tr>
      <w:tr w:rsidR="002E5FF6" w:rsidRPr="000E6955" w:rsidTr="004B380D">
        <w:tc>
          <w:tcPr>
            <w:tcW w:w="2273" w:type="dxa"/>
          </w:tcPr>
          <w:p w:rsidR="002E5FF6" w:rsidRDefault="002E5FF6" w:rsidP="002E5FF6">
            <w:pPr>
              <w:rPr>
                <w:sz w:val="20"/>
              </w:rPr>
            </w:pPr>
          </w:p>
        </w:tc>
        <w:tc>
          <w:tcPr>
            <w:tcW w:w="360" w:type="dxa"/>
            <w:tcBorders>
              <w:top w:val="single" w:sz="18" w:space="0" w:color="auto"/>
              <w:bottom w:val="single" w:sz="18" w:space="0" w:color="auto"/>
              <w:right w:val="single" w:sz="18" w:space="0" w:color="FFFFFF" w:themeColor="background1"/>
            </w:tcBorders>
          </w:tcPr>
          <w:p w:rsidR="002E5FF6" w:rsidRDefault="002E5FF6" w:rsidP="002E5FF6">
            <w:pPr>
              <w:jc w:val="right"/>
              <w:rPr>
                <w:sz w:val="20"/>
              </w:rPr>
            </w:pPr>
          </w:p>
        </w:tc>
        <w:tc>
          <w:tcPr>
            <w:tcW w:w="973" w:type="dxa"/>
            <w:tcBorders>
              <w:top w:val="single" w:sz="18" w:space="0" w:color="auto"/>
              <w:left w:val="single" w:sz="18" w:space="0" w:color="FFFFFF" w:themeColor="background1"/>
              <w:bottom w:val="single" w:sz="18" w:space="0" w:color="auto"/>
            </w:tcBorders>
          </w:tcPr>
          <w:p w:rsidR="002E5FF6" w:rsidRDefault="002E5FF6" w:rsidP="002E5FF6">
            <w:pPr>
              <w:jc w:val="right"/>
              <w:rPr>
                <w:sz w:val="20"/>
              </w:rPr>
            </w:pPr>
            <w:r>
              <w:rPr>
                <w:sz w:val="20"/>
              </w:rPr>
              <w:t>4,281.2</w:t>
            </w:r>
          </w:p>
        </w:tc>
        <w:tc>
          <w:tcPr>
            <w:tcW w:w="293" w:type="dxa"/>
            <w:gridSpan w:val="2"/>
            <w:tcBorders>
              <w:right w:val="single" w:sz="18" w:space="0" w:color="FFFFFF" w:themeColor="background1"/>
            </w:tcBorders>
          </w:tcPr>
          <w:p w:rsidR="002E5FF6" w:rsidRDefault="002E5FF6" w:rsidP="002E5FF6">
            <w:pPr>
              <w:jc w:val="right"/>
              <w:rPr>
                <w:sz w:val="20"/>
              </w:rPr>
            </w:pPr>
          </w:p>
        </w:tc>
        <w:tc>
          <w:tcPr>
            <w:tcW w:w="1148" w:type="dxa"/>
            <w:tcBorders>
              <w:left w:val="single" w:sz="18" w:space="0" w:color="FFFFFF" w:themeColor="background1"/>
            </w:tcBorders>
          </w:tcPr>
          <w:p w:rsidR="002E5FF6" w:rsidRDefault="002E5FF6" w:rsidP="002E5FF6">
            <w:pPr>
              <w:jc w:val="right"/>
              <w:rPr>
                <w:sz w:val="20"/>
              </w:rPr>
            </w:pPr>
          </w:p>
        </w:tc>
        <w:tc>
          <w:tcPr>
            <w:tcW w:w="884" w:type="dxa"/>
            <w:tcBorders>
              <w:right w:val="single" w:sz="18" w:space="0" w:color="FFFFFF" w:themeColor="background1"/>
            </w:tcBorders>
          </w:tcPr>
          <w:p w:rsidR="002E5FF6" w:rsidRDefault="002E5FF6" w:rsidP="002E5FF6">
            <w:pPr>
              <w:jc w:val="right"/>
              <w:rPr>
                <w:sz w:val="20"/>
              </w:rPr>
            </w:pPr>
          </w:p>
        </w:tc>
        <w:tc>
          <w:tcPr>
            <w:tcW w:w="906" w:type="dxa"/>
            <w:gridSpan w:val="2"/>
            <w:tcBorders>
              <w:left w:val="single" w:sz="18" w:space="0" w:color="FFFFFF" w:themeColor="background1"/>
            </w:tcBorders>
          </w:tcPr>
          <w:p w:rsidR="002E5FF6" w:rsidRDefault="002E5FF6" w:rsidP="002E5FF6">
            <w:pPr>
              <w:jc w:val="right"/>
              <w:rPr>
                <w:sz w:val="20"/>
              </w:rPr>
            </w:pPr>
          </w:p>
        </w:tc>
        <w:tc>
          <w:tcPr>
            <w:tcW w:w="1017" w:type="dxa"/>
            <w:tcBorders>
              <w:right w:val="single" w:sz="18" w:space="0" w:color="FFFFFF" w:themeColor="background1"/>
            </w:tcBorders>
          </w:tcPr>
          <w:p w:rsidR="002E5FF6" w:rsidRDefault="002E5FF6" w:rsidP="002E5FF6">
            <w:pPr>
              <w:jc w:val="right"/>
              <w:rPr>
                <w:sz w:val="20"/>
              </w:rPr>
            </w:pPr>
          </w:p>
        </w:tc>
        <w:tc>
          <w:tcPr>
            <w:tcW w:w="1283" w:type="dxa"/>
            <w:tcBorders>
              <w:left w:val="single" w:sz="18" w:space="0" w:color="FFFFFF" w:themeColor="background1"/>
            </w:tcBorders>
          </w:tcPr>
          <w:p w:rsidR="002E5FF6" w:rsidRDefault="002E5FF6" w:rsidP="002E5FF6">
            <w:pPr>
              <w:jc w:val="right"/>
              <w:rPr>
                <w:sz w:val="20"/>
              </w:rPr>
            </w:pPr>
          </w:p>
        </w:tc>
        <w:tc>
          <w:tcPr>
            <w:tcW w:w="327" w:type="dxa"/>
            <w:gridSpan w:val="3"/>
            <w:tcBorders>
              <w:top w:val="single" w:sz="18" w:space="0" w:color="auto"/>
              <w:bottom w:val="single" w:sz="18" w:space="0" w:color="auto"/>
              <w:right w:val="single" w:sz="18" w:space="0" w:color="FFFFFF" w:themeColor="background1"/>
            </w:tcBorders>
          </w:tcPr>
          <w:p w:rsidR="002E5FF6" w:rsidRDefault="002E5FF6" w:rsidP="002E5FF6">
            <w:pPr>
              <w:jc w:val="right"/>
              <w:rPr>
                <w:sz w:val="20"/>
              </w:rPr>
            </w:pPr>
          </w:p>
        </w:tc>
        <w:tc>
          <w:tcPr>
            <w:tcW w:w="1120" w:type="dxa"/>
            <w:gridSpan w:val="2"/>
            <w:tcBorders>
              <w:top w:val="single" w:sz="18" w:space="0" w:color="auto"/>
              <w:left w:val="single" w:sz="18" w:space="0" w:color="FFFFFF" w:themeColor="background1"/>
              <w:bottom w:val="single" w:sz="18" w:space="0" w:color="auto"/>
            </w:tcBorders>
          </w:tcPr>
          <w:p w:rsidR="002E5FF6" w:rsidRDefault="002E5FF6" w:rsidP="002E5FF6">
            <w:pPr>
              <w:jc w:val="right"/>
              <w:rPr>
                <w:sz w:val="20"/>
              </w:rPr>
            </w:pPr>
            <w:r>
              <w:rPr>
                <w:sz w:val="20"/>
              </w:rPr>
              <w:t>4,359.9</w:t>
            </w:r>
          </w:p>
        </w:tc>
      </w:tr>
      <w:tr w:rsidR="001428E6" w:rsidRPr="000E6955" w:rsidTr="004B380D">
        <w:tc>
          <w:tcPr>
            <w:tcW w:w="2273" w:type="dxa"/>
          </w:tcPr>
          <w:p w:rsidR="001428E6" w:rsidRDefault="001428E6" w:rsidP="002E5FF6">
            <w:pPr>
              <w:rPr>
                <w:sz w:val="20"/>
              </w:rPr>
            </w:pPr>
          </w:p>
        </w:tc>
        <w:tc>
          <w:tcPr>
            <w:tcW w:w="360" w:type="dxa"/>
            <w:tcBorders>
              <w:top w:val="single" w:sz="18" w:space="0" w:color="auto"/>
            </w:tcBorders>
          </w:tcPr>
          <w:p w:rsidR="001428E6" w:rsidRDefault="001428E6" w:rsidP="002E5FF6">
            <w:pPr>
              <w:jc w:val="right"/>
              <w:rPr>
                <w:sz w:val="20"/>
              </w:rPr>
            </w:pPr>
          </w:p>
        </w:tc>
        <w:tc>
          <w:tcPr>
            <w:tcW w:w="973" w:type="dxa"/>
            <w:tcBorders>
              <w:top w:val="single" w:sz="18" w:space="0" w:color="auto"/>
            </w:tcBorders>
          </w:tcPr>
          <w:p w:rsidR="001428E6" w:rsidRDefault="001428E6" w:rsidP="002E5FF6">
            <w:pPr>
              <w:jc w:val="right"/>
              <w:rPr>
                <w:sz w:val="20"/>
              </w:rPr>
            </w:pPr>
          </w:p>
        </w:tc>
        <w:tc>
          <w:tcPr>
            <w:tcW w:w="293" w:type="dxa"/>
            <w:gridSpan w:val="2"/>
            <w:tcBorders>
              <w:right w:val="single" w:sz="18" w:space="0" w:color="FFFFFF" w:themeColor="background1"/>
            </w:tcBorders>
          </w:tcPr>
          <w:p w:rsidR="001428E6" w:rsidRDefault="001428E6" w:rsidP="002E5FF6">
            <w:pPr>
              <w:jc w:val="right"/>
              <w:rPr>
                <w:sz w:val="20"/>
              </w:rPr>
            </w:pPr>
          </w:p>
        </w:tc>
        <w:tc>
          <w:tcPr>
            <w:tcW w:w="1148" w:type="dxa"/>
            <w:tcBorders>
              <w:left w:val="single" w:sz="18" w:space="0" w:color="FFFFFF" w:themeColor="background1"/>
            </w:tcBorders>
          </w:tcPr>
          <w:p w:rsidR="001428E6" w:rsidRDefault="001428E6" w:rsidP="002E5FF6">
            <w:pPr>
              <w:jc w:val="right"/>
              <w:rPr>
                <w:sz w:val="20"/>
              </w:rPr>
            </w:pPr>
          </w:p>
        </w:tc>
        <w:tc>
          <w:tcPr>
            <w:tcW w:w="884" w:type="dxa"/>
            <w:tcBorders>
              <w:right w:val="single" w:sz="18" w:space="0" w:color="FFFFFF" w:themeColor="background1"/>
            </w:tcBorders>
          </w:tcPr>
          <w:p w:rsidR="001428E6" w:rsidRDefault="001428E6" w:rsidP="002E5FF6">
            <w:pPr>
              <w:jc w:val="right"/>
              <w:rPr>
                <w:sz w:val="20"/>
              </w:rPr>
            </w:pPr>
          </w:p>
        </w:tc>
        <w:tc>
          <w:tcPr>
            <w:tcW w:w="906" w:type="dxa"/>
            <w:gridSpan w:val="2"/>
            <w:tcBorders>
              <w:left w:val="single" w:sz="18" w:space="0" w:color="FFFFFF" w:themeColor="background1"/>
            </w:tcBorders>
          </w:tcPr>
          <w:p w:rsidR="001428E6" w:rsidRDefault="001428E6" w:rsidP="002E5FF6">
            <w:pPr>
              <w:jc w:val="right"/>
              <w:rPr>
                <w:sz w:val="20"/>
              </w:rPr>
            </w:pPr>
          </w:p>
        </w:tc>
        <w:tc>
          <w:tcPr>
            <w:tcW w:w="1017" w:type="dxa"/>
            <w:tcBorders>
              <w:right w:val="single" w:sz="18" w:space="0" w:color="FFFFFF" w:themeColor="background1"/>
            </w:tcBorders>
          </w:tcPr>
          <w:p w:rsidR="001428E6" w:rsidRDefault="001428E6" w:rsidP="002E5FF6">
            <w:pPr>
              <w:jc w:val="right"/>
              <w:rPr>
                <w:sz w:val="20"/>
              </w:rPr>
            </w:pPr>
          </w:p>
        </w:tc>
        <w:tc>
          <w:tcPr>
            <w:tcW w:w="1283" w:type="dxa"/>
            <w:tcBorders>
              <w:left w:val="single" w:sz="18" w:space="0" w:color="FFFFFF" w:themeColor="background1"/>
            </w:tcBorders>
          </w:tcPr>
          <w:p w:rsidR="001428E6" w:rsidRDefault="001428E6" w:rsidP="002E5FF6">
            <w:pPr>
              <w:jc w:val="right"/>
              <w:rPr>
                <w:sz w:val="20"/>
              </w:rPr>
            </w:pPr>
          </w:p>
        </w:tc>
        <w:tc>
          <w:tcPr>
            <w:tcW w:w="327" w:type="dxa"/>
            <w:gridSpan w:val="3"/>
            <w:tcBorders>
              <w:top w:val="single" w:sz="18" w:space="0" w:color="auto"/>
            </w:tcBorders>
          </w:tcPr>
          <w:p w:rsidR="001428E6" w:rsidRDefault="001428E6" w:rsidP="002E5FF6">
            <w:pPr>
              <w:jc w:val="right"/>
              <w:rPr>
                <w:sz w:val="20"/>
              </w:rPr>
            </w:pPr>
          </w:p>
        </w:tc>
        <w:tc>
          <w:tcPr>
            <w:tcW w:w="1120" w:type="dxa"/>
            <w:gridSpan w:val="2"/>
            <w:tcBorders>
              <w:top w:val="single" w:sz="18" w:space="0" w:color="auto"/>
            </w:tcBorders>
          </w:tcPr>
          <w:p w:rsidR="001428E6" w:rsidRDefault="001428E6" w:rsidP="002E5FF6">
            <w:pPr>
              <w:jc w:val="right"/>
              <w:rPr>
                <w:sz w:val="20"/>
              </w:rPr>
            </w:pPr>
          </w:p>
        </w:tc>
      </w:tr>
    </w:tbl>
    <w:p w:rsidR="004B380D" w:rsidRDefault="004B380D" w:rsidP="00F332F8">
      <w:pPr>
        <w:spacing w:after="240"/>
        <w:ind w:left="720"/>
        <w:jc w:val="both"/>
        <w:rPr>
          <w:szCs w:val="24"/>
        </w:rPr>
      </w:pPr>
    </w:p>
    <w:p w:rsidR="002E5FF6" w:rsidRDefault="002E5FF6" w:rsidP="002E5FF6">
      <w:pPr>
        <w:spacing w:after="240"/>
        <w:ind w:left="567"/>
        <w:jc w:val="both"/>
        <w:rPr>
          <w:szCs w:val="24"/>
        </w:rPr>
      </w:pPr>
      <w:r w:rsidRPr="00166665">
        <w:rPr>
          <w:szCs w:val="24"/>
        </w:rPr>
        <w:t>Transaction costs are included in the cost of purchases and in sale proceeds.  Transaction costs include costs charged directly to the Pension Fund, such as fees, commissions paid to agents, brokers and dealers, levies by regulatory agencies and securities exchanges and transfer taxes and duties.  Transaction costs incurred during the year 20</w:t>
      </w:r>
      <w:r>
        <w:rPr>
          <w:szCs w:val="24"/>
        </w:rPr>
        <w:t>12</w:t>
      </w:r>
      <w:r w:rsidRPr="00166665">
        <w:rPr>
          <w:szCs w:val="24"/>
        </w:rPr>
        <w:t>/1</w:t>
      </w:r>
      <w:r>
        <w:rPr>
          <w:szCs w:val="24"/>
        </w:rPr>
        <w:t>3</w:t>
      </w:r>
      <w:r w:rsidRPr="00166665">
        <w:rPr>
          <w:szCs w:val="24"/>
        </w:rPr>
        <w:t xml:space="preserve"> amounted to </w:t>
      </w:r>
      <w:r w:rsidRPr="00C94A41">
        <w:rPr>
          <w:szCs w:val="24"/>
        </w:rPr>
        <w:t>£</w:t>
      </w:r>
      <w:r>
        <w:rPr>
          <w:szCs w:val="24"/>
        </w:rPr>
        <w:t>2.2m</w:t>
      </w:r>
      <w:r w:rsidRPr="00C94A41">
        <w:rPr>
          <w:szCs w:val="24"/>
        </w:rPr>
        <w:t xml:space="preserve"> (201</w:t>
      </w:r>
      <w:r>
        <w:rPr>
          <w:szCs w:val="24"/>
        </w:rPr>
        <w:t>1</w:t>
      </w:r>
      <w:r w:rsidRPr="00C94A41">
        <w:rPr>
          <w:szCs w:val="24"/>
        </w:rPr>
        <w:t>/1</w:t>
      </w:r>
      <w:r>
        <w:rPr>
          <w:szCs w:val="24"/>
        </w:rPr>
        <w:t>2: £2.0m</w:t>
      </w:r>
      <w:r w:rsidRPr="00C94A41">
        <w:rPr>
          <w:szCs w:val="24"/>
        </w:rPr>
        <w:t>).</w:t>
      </w:r>
    </w:p>
    <w:p w:rsidR="001428E6" w:rsidRDefault="001428E6" w:rsidP="002E5FF6">
      <w:pPr>
        <w:spacing w:after="240"/>
        <w:ind w:left="567"/>
        <w:jc w:val="both"/>
        <w:rPr>
          <w:szCs w:val="24"/>
        </w:rPr>
      </w:pPr>
    </w:p>
    <w:p w:rsidR="004B380D" w:rsidRDefault="004B380D" w:rsidP="002E5FF6">
      <w:pPr>
        <w:spacing w:after="120"/>
        <w:ind w:left="567"/>
        <w:jc w:val="both"/>
        <w:rPr>
          <w:szCs w:val="24"/>
        </w:rPr>
      </w:pPr>
    </w:p>
    <w:p w:rsidR="004B380D" w:rsidRDefault="004B380D" w:rsidP="002E5FF6">
      <w:pPr>
        <w:spacing w:after="120"/>
        <w:ind w:left="567"/>
        <w:jc w:val="both"/>
        <w:rPr>
          <w:szCs w:val="24"/>
        </w:rPr>
      </w:pPr>
    </w:p>
    <w:p w:rsidR="00F6773F" w:rsidRDefault="002E5FF6" w:rsidP="002E5FF6">
      <w:pPr>
        <w:spacing w:after="120"/>
        <w:ind w:left="567"/>
        <w:jc w:val="both"/>
        <w:rPr>
          <w:szCs w:val="24"/>
        </w:rPr>
      </w:pPr>
      <w:r w:rsidRPr="00166665">
        <w:rPr>
          <w:szCs w:val="24"/>
        </w:rPr>
        <w:t>The investment assets at 31 March 201</w:t>
      </w:r>
      <w:r>
        <w:rPr>
          <w:szCs w:val="24"/>
        </w:rPr>
        <w:t>3</w:t>
      </w:r>
      <w:r w:rsidRPr="00166665">
        <w:rPr>
          <w:szCs w:val="24"/>
        </w:rPr>
        <w:t xml:space="preserve"> are managed by </w:t>
      </w:r>
      <w:r>
        <w:rPr>
          <w:szCs w:val="24"/>
        </w:rPr>
        <w:t>nine</w:t>
      </w:r>
      <w:r w:rsidRPr="00166665">
        <w:rPr>
          <w:szCs w:val="24"/>
        </w:rPr>
        <w:t xml:space="preserve"> external investment managers, with the remaining cash deposits managed in-house.  </w:t>
      </w:r>
      <w:proofErr w:type="gramStart"/>
      <w:r w:rsidR="00E764D7">
        <w:rPr>
          <w:szCs w:val="24"/>
        </w:rPr>
        <w:t>Details of the</w:t>
      </w:r>
      <w:r w:rsidRPr="00166665">
        <w:rPr>
          <w:szCs w:val="24"/>
        </w:rPr>
        <w:t xml:space="preserve"> split of the investment assets by investment manager</w:t>
      </w:r>
      <w:r w:rsidR="00E764D7">
        <w:rPr>
          <w:szCs w:val="24"/>
        </w:rPr>
        <w:t xml:space="preserve"> is</w:t>
      </w:r>
      <w:proofErr w:type="gramEnd"/>
      <w:r w:rsidR="00E764D7">
        <w:rPr>
          <w:szCs w:val="24"/>
        </w:rPr>
        <w:t xml:space="preserve"> below</w:t>
      </w:r>
      <w:r w:rsidR="005D21A6">
        <w:rPr>
          <w:szCs w:val="24"/>
        </w:rPr>
        <w:t>:</w:t>
      </w:r>
    </w:p>
    <w:p w:rsidR="004B380D" w:rsidRDefault="004B380D" w:rsidP="002E5FF6">
      <w:pPr>
        <w:spacing w:after="120"/>
        <w:ind w:left="567"/>
        <w:jc w:val="both"/>
        <w:rPr>
          <w:szCs w:val="24"/>
        </w:rPr>
      </w:pPr>
    </w:p>
    <w:p w:rsidR="001428E6" w:rsidRDefault="001428E6" w:rsidP="002E5FF6">
      <w:pPr>
        <w:spacing w:after="120"/>
        <w:ind w:left="567"/>
        <w:jc w:val="both"/>
        <w:rPr>
          <w:szCs w:val="24"/>
        </w:rPr>
      </w:pPr>
    </w:p>
    <w:tbl>
      <w:tblPr>
        <w:tblW w:w="10491" w:type="dxa"/>
        <w:tblInd w:w="103" w:type="dxa"/>
        <w:tblLook w:val="04A0"/>
      </w:tblPr>
      <w:tblGrid>
        <w:gridCol w:w="5424"/>
        <w:gridCol w:w="283"/>
        <w:gridCol w:w="1334"/>
        <w:gridCol w:w="830"/>
        <w:gridCol w:w="283"/>
        <w:gridCol w:w="1349"/>
        <w:gridCol w:w="988"/>
      </w:tblGrid>
      <w:tr w:rsidR="00F6773F" w:rsidRPr="00F6773F" w:rsidTr="00F6773F">
        <w:trPr>
          <w:trHeight w:val="315"/>
        </w:trPr>
        <w:tc>
          <w:tcPr>
            <w:tcW w:w="7871" w:type="dxa"/>
            <w:gridSpan w:val="4"/>
            <w:tcBorders>
              <w:top w:val="single" w:sz="4" w:space="0" w:color="auto"/>
              <w:left w:val="single" w:sz="4" w:space="0" w:color="auto"/>
              <w:bottom w:val="nil"/>
              <w:right w:val="nil"/>
            </w:tcBorders>
            <w:shd w:val="clear" w:color="000000" w:fill="FFFFFF"/>
            <w:noWrap/>
            <w:vAlign w:val="bottom"/>
            <w:hideMark/>
          </w:tcPr>
          <w:p w:rsidR="00F6773F" w:rsidRPr="004B380D" w:rsidRDefault="009850B0" w:rsidP="00F6773F">
            <w:pPr>
              <w:rPr>
                <w:rFonts w:cs="Arial"/>
                <w:b/>
                <w:bCs/>
                <w:color w:val="000000"/>
                <w:szCs w:val="24"/>
              </w:rPr>
            </w:pPr>
            <w:r>
              <w:rPr>
                <w:rFonts w:cs="Arial"/>
                <w:b/>
                <w:bCs/>
                <w:color w:val="000000"/>
                <w:szCs w:val="24"/>
              </w:rPr>
              <w:t>Summary of Manager's Portfolio Values as at 31st March 2013</w:t>
            </w:r>
          </w:p>
        </w:tc>
        <w:tc>
          <w:tcPr>
            <w:tcW w:w="283" w:type="dxa"/>
            <w:tcBorders>
              <w:top w:val="single" w:sz="4" w:space="0" w:color="auto"/>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single" w:sz="4" w:space="0" w:color="auto"/>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single" w:sz="4" w:space="0" w:color="auto"/>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 </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164" w:type="dxa"/>
            <w:gridSpan w:val="2"/>
            <w:tcBorders>
              <w:top w:val="nil"/>
              <w:left w:val="nil"/>
              <w:bottom w:val="nil"/>
              <w:right w:val="nil"/>
            </w:tcBorders>
            <w:shd w:val="clear" w:color="000000" w:fill="FFFFFF"/>
            <w:noWrap/>
            <w:vAlign w:val="bottom"/>
            <w:hideMark/>
          </w:tcPr>
          <w:p w:rsidR="00F6773F" w:rsidRPr="004B380D" w:rsidRDefault="00670114" w:rsidP="00F6773F">
            <w:pPr>
              <w:jc w:val="center"/>
              <w:rPr>
                <w:rFonts w:cs="Arial"/>
                <w:bCs/>
                <w:color w:val="000000"/>
                <w:szCs w:val="24"/>
              </w:rPr>
            </w:pPr>
            <w:r w:rsidRPr="00670114">
              <w:rPr>
                <w:rFonts w:cs="Arial"/>
                <w:bCs/>
                <w:color w:val="000000"/>
                <w:szCs w:val="24"/>
              </w:rPr>
              <w:t>2012/13</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jc w:val="center"/>
              <w:rPr>
                <w:rFonts w:cs="Arial"/>
                <w:b/>
                <w:bCs/>
                <w:color w:val="000000"/>
                <w:szCs w:val="24"/>
              </w:rPr>
            </w:pPr>
            <w:r w:rsidRPr="00F6773F">
              <w:rPr>
                <w:rFonts w:cs="Arial"/>
                <w:b/>
                <w:bCs/>
                <w:color w:val="000000"/>
                <w:szCs w:val="24"/>
              </w:rPr>
              <w:t> </w:t>
            </w:r>
          </w:p>
        </w:tc>
        <w:tc>
          <w:tcPr>
            <w:tcW w:w="2337" w:type="dxa"/>
            <w:gridSpan w:val="2"/>
            <w:tcBorders>
              <w:top w:val="nil"/>
              <w:left w:val="nil"/>
              <w:bottom w:val="nil"/>
              <w:right w:val="single" w:sz="4" w:space="0" w:color="000000"/>
            </w:tcBorders>
            <w:shd w:val="clear" w:color="000000" w:fill="FFFFFF"/>
            <w:noWrap/>
            <w:vAlign w:val="bottom"/>
            <w:hideMark/>
          </w:tcPr>
          <w:p w:rsidR="00F6773F" w:rsidRPr="00F6773F" w:rsidRDefault="00F6773F" w:rsidP="00F6773F">
            <w:pPr>
              <w:jc w:val="center"/>
              <w:rPr>
                <w:rFonts w:cs="Arial"/>
                <w:b/>
                <w:bCs/>
                <w:color w:val="000000"/>
                <w:szCs w:val="24"/>
              </w:rPr>
            </w:pPr>
            <w:r w:rsidRPr="00F6773F">
              <w:rPr>
                <w:rFonts w:cs="Arial"/>
                <w:b/>
                <w:bCs/>
                <w:color w:val="000000"/>
                <w:szCs w:val="24"/>
              </w:rPr>
              <w:t>2011/12</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bCs/>
                <w:color w:val="000000"/>
                <w:szCs w:val="24"/>
              </w:rPr>
            </w:pPr>
            <w:r w:rsidRPr="00670114">
              <w:rPr>
                <w:rFonts w:cs="Arial"/>
                <w:bCs/>
                <w:color w:val="000000"/>
                <w:szCs w:val="24"/>
              </w:rPr>
              <w:t>£m</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bCs/>
                <w:color w:val="000000"/>
                <w:szCs w:val="24"/>
              </w:rPr>
            </w:pPr>
            <w:r w:rsidRPr="00670114">
              <w:rPr>
                <w:rFonts w:cs="Arial"/>
                <w:bCs/>
                <w:color w:val="000000"/>
                <w:szCs w:val="24"/>
              </w:rPr>
              <w:t>%</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£m</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Externally Managed</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6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BNYM Transition (Credit and fixed income transition)</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929.4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19%</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27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Baillie Gifford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703.1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14%</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Legal &amp; General (Index tracking - multi asset)</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582.1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12%</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1,057.4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24%</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Knight Frank (Property)</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434.9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9%</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383.9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9%</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Robeco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354.5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7%</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NGAM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245.7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5%</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MFS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245.0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5%</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Morgan Stanley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234.1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5%</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Capital Dynamics (Private equity)</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229.1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4%</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222.4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5%</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Capital Dynamics (Infrastructure)</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77.5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1%</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50.4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Newton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0%</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615.6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14%</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DC060B" w:rsidRDefault="00670114">
            <w:pPr>
              <w:rPr>
                <w:rFonts w:cs="Arial"/>
                <w:color w:val="000000"/>
                <w:szCs w:val="24"/>
              </w:rPr>
            </w:pPr>
            <w:r w:rsidRPr="00670114">
              <w:rPr>
                <w:rFonts w:cs="Arial"/>
                <w:color w:val="000000"/>
                <w:szCs w:val="24"/>
              </w:rPr>
              <w:t>JP Morgan (</w:t>
            </w:r>
            <w:r w:rsidR="0051624A">
              <w:rPr>
                <w:rFonts w:cs="Arial"/>
                <w:color w:val="000000"/>
                <w:szCs w:val="24"/>
              </w:rPr>
              <w:t>UK</w:t>
            </w:r>
            <w:r w:rsidRPr="00670114">
              <w:rPr>
                <w:rFonts w:cs="Arial"/>
                <w:color w:val="000000"/>
                <w:szCs w:val="24"/>
              </w:rPr>
              <w:t xml:space="preserve">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0%</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501.4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12%</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BNYM Transition (Global equities)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0%</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617.1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14%</w:t>
            </w:r>
          </w:p>
        </w:tc>
      </w:tr>
      <w:tr w:rsidR="00F6773F" w:rsidRPr="00F6773F" w:rsidTr="00F6773F">
        <w:trPr>
          <w:trHeight w:val="300"/>
        </w:trPr>
        <w:tc>
          <w:tcPr>
            <w:tcW w:w="5424" w:type="dxa"/>
            <w:tcBorders>
              <w:top w:val="nil"/>
              <w:left w:val="single" w:sz="4" w:space="0" w:color="auto"/>
              <w:bottom w:val="nil"/>
              <w:right w:val="nil"/>
            </w:tcBorders>
            <w:shd w:val="clear" w:color="000000" w:fill="FFFFFF"/>
            <w:vAlign w:val="bottom"/>
            <w:hideMark/>
          </w:tcPr>
          <w:p w:rsidR="00F6773F" w:rsidRPr="004B380D" w:rsidRDefault="00670114" w:rsidP="00F6773F">
            <w:pPr>
              <w:rPr>
                <w:rFonts w:cs="Arial"/>
                <w:color w:val="000000"/>
                <w:szCs w:val="24"/>
              </w:rPr>
            </w:pPr>
            <w:r w:rsidRPr="00670114">
              <w:rPr>
                <w:rFonts w:cs="Arial"/>
                <w:color w:val="000000"/>
                <w:szCs w:val="24"/>
              </w:rPr>
              <w:t>UBS (Bonds)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0%</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672.7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15%</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Externally Managed Portfolios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 xml:space="preserve">   4,035.4 </w:t>
            </w:r>
          </w:p>
        </w:tc>
        <w:tc>
          <w:tcPr>
            <w:tcW w:w="830"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jc w:val="right"/>
              <w:rPr>
                <w:rFonts w:cs="Arial"/>
                <w:bCs/>
                <w:color w:val="000000"/>
                <w:szCs w:val="24"/>
              </w:rPr>
            </w:pPr>
            <w:r w:rsidRPr="00670114">
              <w:rPr>
                <w:rFonts w:cs="Arial"/>
                <w:bCs/>
                <w:color w:val="000000"/>
                <w:szCs w:val="24"/>
              </w:rPr>
              <w:t>81%</w:t>
            </w:r>
          </w:p>
        </w:tc>
        <w:tc>
          <w:tcPr>
            <w:tcW w:w="283"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b/>
                <w:bCs/>
                <w:color w:val="000000"/>
                <w:szCs w:val="24"/>
              </w:rPr>
            </w:pPr>
            <w:r w:rsidRPr="00F6773F">
              <w:rPr>
                <w:rFonts w:cs="Arial"/>
                <w:b/>
                <w:bCs/>
                <w:color w:val="000000"/>
                <w:szCs w:val="24"/>
              </w:rPr>
              <w:t xml:space="preserve">   4,120.9 </w:t>
            </w:r>
          </w:p>
        </w:tc>
        <w:tc>
          <w:tcPr>
            <w:tcW w:w="988" w:type="dxa"/>
            <w:tcBorders>
              <w:top w:val="single" w:sz="4" w:space="0" w:color="auto"/>
              <w:left w:val="nil"/>
              <w:bottom w:val="single" w:sz="4" w:space="0" w:color="auto"/>
              <w:right w:val="single" w:sz="4" w:space="0" w:color="auto"/>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95%</w:t>
            </w:r>
          </w:p>
        </w:tc>
      </w:tr>
      <w:tr w:rsidR="00F6773F" w:rsidRPr="00F6773F" w:rsidTr="00F6773F">
        <w:trPr>
          <w:trHeight w:val="7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Internally Managed</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300"/>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Credit Funds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424.0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9%</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49.3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w:t>
            </w:r>
          </w:p>
        </w:tc>
      </w:tr>
      <w:tr w:rsidR="00F6773F" w:rsidRPr="00F6773F" w:rsidTr="00F6773F">
        <w:trPr>
          <w:trHeight w:val="300"/>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Cash and bonds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226.1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5%</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166.8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4%</w:t>
            </w:r>
          </w:p>
        </w:tc>
      </w:tr>
      <w:tr w:rsidR="00F6773F" w:rsidRPr="00F6773F" w:rsidTr="00F6773F">
        <w:trPr>
          <w:trHeight w:val="300"/>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Emerging markets ETF</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219.1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4%</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00"/>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Infrastructure</w:t>
            </w:r>
            <w:r w:rsidR="0051624A">
              <w:rPr>
                <w:rFonts w:cs="Arial"/>
                <w:color w:val="000000"/>
                <w:szCs w:val="24"/>
              </w:rPr>
              <w:t xml:space="preserve"> Funds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76.9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1%</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22.9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1%</w:t>
            </w:r>
          </w:p>
        </w:tc>
      </w:tr>
      <w:tr w:rsidR="00F6773F" w:rsidRPr="00F6773F" w:rsidTr="00F6773F">
        <w:trPr>
          <w:trHeight w:val="300"/>
        </w:trPr>
        <w:tc>
          <w:tcPr>
            <w:tcW w:w="5424" w:type="dxa"/>
            <w:tcBorders>
              <w:top w:val="nil"/>
              <w:left w:val="single" w:sz="4" w:space="0" w:color="auto"/>
              <w:bottom w:val="nil"/>
              <w:right w:val="nil"/>
            </w:tcBorders>
            <w:shd w:val="clear" w:color="000000" w:fill="FFFFFF"/>
            <w:noWrap/>
            <w:vAlign w:val="bottom"/>
            <w:hideMark/>
          </w:tcPr>
          <w:p w:rsidR="00DC060B" w:rsidRDefault="00670114">
            <w:pPr>
              <w:rPr>
                <w:rFonts w:cs="Arial"/>
                <w:color w:val="000000"/>
                <w:szCs w:val="24"/>
              </w:rPr>
            </w:pPr>
            <w:r w:rsidRPr="00670114">
              <w:rPr>
                <w:rFonts w:cs="Arial"/>
                <w:color w:val="000000"/>
                <w:szCs w:val="24"/>
              </w:rPr>
              <w:t xml:space="preserve">Indirect </w:t>
            </w:r>
            <w:r w:rsidR="0051624A">
              <w:rPr>
                <w:rFonts w:cs="Arial"/>
                <w:color w:val="000000"/>
                <w:szCs w:val="24"/>
              </w:rPr>
              <w:t>P</w:t>
            </w:r>
            <w:r w:rsidRPr="00670114">
              <w:rPr>
                <w:rFonts w:cs="Arial"/>
                <w:color w:val="000000"/>
                <w:szCs w:val="24"/>
              </w:rPr>
              <w:t>roperty</w:t>
            </w:r>
            <w:r w:rsidR="0051624A">
              <w:rPr>
                <w:rFonts w:cs="Arial"/>
                <w:color w:val="000000"/>
                <w:szCs w:val="24"/>
              </w:rPr>
              <w:t xml:space="preserve"> Funds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xml:space="preserve">           7.5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jc w:val="right"/>
              <w:rPr>
                <w:rFonts w:cs="Arial"/>
                <w:color w:val="000000"/>
                <w:szCs w:val="24"/>
              </w:rPr>
            </w:pPr>
            <w:r w:rsidRPr="00670114">
              <w:rPr>
                <w:rFonts w:cs="Arial"/>
                <w:color w:val="000000"/>
                <w:szCs w:val="24"/>
              </w:rPr>
              <w:t>0%</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xml:space="preserve">             -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jc w:val="right"/>
              <w:rPr>
                <w:rFonts w:cs="Arial"/>
                <w:color w:val="000000"/>
                <w:szCs w:val="24"/>
              </w:rPr>
            </w:pPr>
            <w:r w:rsidRPr="00F6773F">
              <w:rPr>
                <w:rFonts w:cs="Arial"/>
                <w:color w:val="000000"/>
                <w:szCs w:val="24"/>
              </w:rPr>
              <w:t>0%</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Internally Managed Portfolios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 xml:space="preserve">       953.6 </w:t>
            </w:r>
          </w:p>
        </w:tc>
        <w:tc>
          <w:tcPr>
            <w:tcW w:w="830"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jc w:val="right"/>
              <w:rPr>
                <w:rFonts w:cs="Arial"/>
                <w:bCs/>
                <w:color w:val="000000"/>
                <w:szCs w:val="24"/>
              </w:rPr>
            </w:pPr>
            <w:r w:rsidRPr="00670114">
              <w:rPr>
                <w:rFonts w:cs="Arial"/>
                <w:bCs/>
                <w:color w:val="000000"/>
                <w:szCs w:val="24"/>
              </w:rPr>
              <w:t>19%</w:t>
            </w:r>
          </w:p>
        </w:tc>
        <w:tc>
          <w:tcPr>
            <w:tcW w:w="283"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b/>
                <w:bCs/>
                <w:color w:val="000000"/>
                <w:szCs w:val="24"/>
              </w:rPr>
            </w:pPr>
            <w:r w:rsidRPr="00F6773F">
              <w:rPr>
                <w:rFonts w:cs="Arial"/>
                <w:b/>
                <w:bCs/>
                <w:color w:val="000000"/>
                <w:szCs w:val="24"/>
              </w:rPr>
              <w:t xml:space="preserve">       239.0 </w:t>
            </w:r>
          </w:p>
        </w:tc>
        <w:tc>
          <w:tcPr>
            <w:tcW w:w="988" w:type="dxa"/>
            <w:tcBorders>
              <w:top w:val="single" w:sz="4" w:space="0" w:color="auto"/>
              <w:left w:val="nil"/>
              <w:bottom w:val="single" w:sz="4" w:space="0" w:color="auto"/>
              <w:right w:val="single" w:sz="4" w:space="0" w:color="auto"/>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5%</w:t>
            </w:r>
          </w:p>
        </w:tc>
      </w:tr>
      <w:tr w:rsidR="00F6773F" w:rsidRPr="00F6773F" w:rsidTr="00F6773F">
        <w:trPr>
          <w:trHeight w:val="7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830"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283"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nil"/>
              <w:left w:val="nil"/>
              <w:bottom w:val="nil"/>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988" w:type="dxa"/>
            <w:tcBorders>
              <w:top w:val="nil"/>
              <w:left w:val="nil"/>
              <w:bottom w:val="nil"/>
              <w:right w:val="single" w:sz="4" w:space="0" w:color="auto"/>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r>
      <w:tr w:rsidR="00F6773F" w:rsidRPr="00F6773F" w:rsidTr="00F6773F">
        <w:trPr>
          <w:trHeight w:val="315"/>
        </w:trPr>
        <w:tc>
          <w:tcPr>
            <w:tcW w:w="5424" w:type="dxa"/>
            <w:tcBorders>
              <w:top w:val="nil"/>
              <w:left w:val="single" w:sz="4" w:space="0" w:color="auto"/>
              <w:bottom w:val="nil"/>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Total Portfolio Values</w:t>
            </w:r>
          </w:p>
        </w:tc>
        <w:tc>
          <w:tcPr>
            <w:tcW w:w="283" w:type="dxa"/>
            <w:tcBorders>
              <w:top w:val="nil"/>
              <w:left w:val="nil"/>
              <w:bottom w:val="nil"/>
              <w:right w:val="nil"/>
            </w:tcBorders>
            <w:shd w:val="clear" w:color="000000" w:fill="FFFFFF"/>
            <w:noWrap/>
            <w:vAlign w:val="bottom"/>
            <w:hideMark/>
          </w:tcPr>
          <w:p w:rsidR="00F6773F" w:rsidRPr="004B380D" w:rsidRDefault="00670114" w:rsidP="00F6773F">
            <w:pPr>
              <w:rPr>
                <w:rFonts w:cs="Arial"/>
                <w:color w:val="000000"/>
                <w:szCs w:val="24"/>
              </w:rPr>
            </w:pPr>
            <w:r w:rsidRPr="00670114">
              <w:rPr>
                <w:rFonts w:cs="Arial"/>
                <w:color w:val="000000"/>
                <w:szCs w:val="24"/>
              </w:rPr>
              <w:t> </w:t>
            </w:r>
          </w:p>
        </w:tc>
        <w:tc>
          <w:tcPr>
            <w:tcW w:w="1334"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rPr>
                <w:rFonts w:cs="Arial"/>
                <w:bCs/>
                <w:color w:val="000000"/>
                <w:szCs w:val="24"/>
              </w:rPr>
            </w:pPr>
            <w:r w:rsidRPr="00670114">
              <w:rPr>
                <w:rFonts w:cs="Arial"/>
                <w:bCs/>
                <w:color w:val="000000"/>
                <w:szCs w:val="24"/>
              </w:rPr>
              <w:t xml:space="preserve">   4,989.0 </w:t>
            </w:r>
          </w:p>
        </w:tc>
        <w:tc>
          <w:tcPr>
            <w:tcW w:w="830" w:type="dxa"/>
            <w:tcBorders>
              <w:top w:val="single" w:sz="4" w:space="0" w:color="auto"/>
              <w:left w:val="nil"/>
              <w:bottom w:val="single" w:sz="4" w:space="0" w:color="auto"/>
              <w:right w:val="nil"/>
            </w:tcBorders>
            <w:shd w:val="clear" w:color="000000" w:fill="FFFFFF"/>
            <w:noWrap/>
            <w:vAlign w:val="bottom"/>
            <w:hideMark/>
          </w:tcPr>
          <w:p w:rsidR="00F6773F" w:rsidRPr="004B380D" w:rsidRDefault="00670114" w:rsidP="00F6773F">
            <w:pPr>
              <w:jc w:val="right"/>
              <w:rPr>
                <w:rFonts w:cs="Arial"/>
                <w:bCs/>
                <w:color w:val="000000"/>
                <w:szCs w:val="24"/>
              </w:rPr>
            </w:pPr>
            <w:r w:rsidRPr="00670114">
              <w:rPr>
                <w:rFonts w:cs="Arial"/>
                <w:bCs/>
                <w:color w:val="000000"/>
                <w:szCs w:val="24"/>
              </w:rPr>
              <w:t>100%</w:t>
            </w:r>
          </w:p>
        </w:tc>
        <w:tc>
          <w:tcPr>
            <w:tcW w:w="283"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color w:val="000000"/>
                <w:szCs w:val="24"/>
              </w:rPr>
            </w:pPr>
            <w:r w:rsidRPr="00F6773F">
              <w:rPr>
                <w:rFonts w:cs="Arial"/>
                <w:color w:val="000000"/>
                <w:szCs w:val="24"/>
              </w:rPr>
              <w:t> </w:t>
            </w:r>
          </w:p>
        </w:tc>
        <w:tc>
          <w:tcPr>
            <w:tcW w:w="1349" w:type="dxa"/>
            <w:tcBorders>
              <w:top w:val="single" w:sz="4" w:space="0" w:color="auto"/>
              <w:left w:val="nil"/>
              <w:bottom w:val="single" w:sz="4" w:space="0" w:color="auto"/>
              <w:right w:val="nil"/>
            </w:tcBorders>
            <w:shd w:val="clear" w:color="000000" w:fill="FFFFFF"/>
            <w:noWrap/>
            <w:vAlign w:val="bottom"/>
            <w:hideMark/>
          </w:tcPr>
          <w:p w:rsidR="00F6773F" w:rsidRPr="00F6773F" w:rsidRDefault="00F6773F" w:rsidP="00F6773F">
            <w:pPr>
              <w:rPr>
                <w:rFonts w:cs="Arial"/>
                <w:b/>
                <w:bCs/>
                <w:color w:val="000000"/>
                <w:szCs w:val="24"/>
              </w:rPr>
            </w:pPr>
            <w:r w:rsidRPr="00F6773F">
              <w:rPr>
                <w:rFonts w:cs="Arial"/>
                <w:b/>
                <w:bCs/>
                <w:color w:val="000000"/>
                <w:szCs w:val="24"/>
              </w:rPr>
              <w:t xml:space="preserve">   4,359.9 </w:t>
            </w:r>
          </w:p>
        </w:tc>
        <w:tc>
          <w:tcPr>
            <w:tcW w:w="988" w:type="dxa"/>
            <w:tcBorders>
              <w:top w:val="single" w:sz="4" w:space="0" w:color="auto"/>
              <w:left w:val="nil"/>
              <w:bottom w:val="single" w:sz="4" w:space="0" w:color="auto"/>
              <w:right w:val="single" w:sz="4" w:space="0" w:color="auto"/>
            </w:tcBorders>
            <w:shd w:val="clear" w:color="000000" w:fill="FFFFFF"/>
            <w:noWrap/>
            <w:vAlign w:val="bottom"/>
            <w:hideMark/>
          </w:tcPr>
          <w:p w:rsidR="00F6773F" w:rsidRPr="00F6773F" w:rsidRDefault="00F6773F" w:rsidP="00F6773F">
            <w:pPr>
              <w:jc w:val="right"/>
              <w:rPr>
                <w:rFonts w:cs="Arial"/>
                <w:b/>
                <w:bCs/>
                <w:color w:val="000000"/>
                <w:szCs w:val="24"/>
              </w:rPr>
            </w:pPr>
            <w:r w:rsidRPr="00F6773F">
              <w:rPr>
                <w:rFonts w:cs="Arial"/>
                <w:b/>
                <w:bCs/>
                <w:color w:val="000000"/>
                <w:szCs w:val="24"/>
              </w:rPr>
              <w:t>100%</w:t>
            </w:r>
          </w:p>
        </w:tc>
      </w:tr>
      <w:tr w:rsidR="00F6773F" w:rsidRPr="00F6773F" w:rsidTr="00F6773F">
        <w:trPr>
          <w:trHeight w:val="255"/>
        </w:trPr>
        <w:tc>
          <w:tcPr>
            <w:tcW w:w="5424" w:type="dxa"/>
            <w:tcBorders>
              <w:top w:val="nil"/>
              <w:left w:val="single" w:sz="4" w:space="0" w:color="auto"/>
              <w:bottom w:val="single" w:sz="4" w:space="0" w:color="auto"/>
              <w:right w:val="nil"/>
            </w:tcBorders>
            <w:shd w:val="clear" w:color="000000" w:fill="FFFFFF"/>
            <w:noWrap/>
            <w:vAlign w:val="bottom"/>
            <w:hideMark/>
          </w:tcPr>
          <w:p w:rsidR="00F6773F" w:rsidRPr="004B380D" w:rsidRDefault="00670114" w:rsidP="00F6773F">
            <w:pPr>
              <w:rPr>
                <w:rFonts w:cs="Arial"/>
                <w:color w:val="000000"/>
                <w:sz w:val="20"/>
              </w:rPr>
            </w:pPr>
            <w:r w:rsidRPr="00670114">
              <w:rPr>
                <w:rFonts w:cs="Arial"/>
                <w:color w:val="000000"/>
                <w:sz w:val="20"/>
              </w:rPr>
              <w:t> </w:t>
            </w:r>
          </w:p>
        </w:tc>
        <w:tc>
          <w:tcPr>
            <w:tcW w:w="283" w:type="dxa"/>
            <w:tcBorders>
              <w:top w:val="nil"/>
              <w:left w:val="nil"/>
              <w:bottom w:val="single" w:sz="4" w:space="0" w:color="auto"/>
              <w:right w:val="nil"/>
            </w:tcBorders>
            <w:shd w:val="clear" w:color="000000" w:fill="FFFFFF"/>
            <w:noWrap/>
            <w:vAlign w:val="bottom"/>
            <w:hideMark/>
          </w:tcPr>
          <w:p w:rsidR="00F6773F" w:rsidRPr="004B380D" w:rsidRDefault="00670114" w:rsidP="00F6773F">
            <w:pPr>
              <w:rPr>
                <w:rFonts w:cs="Arial"/>
                <w:color w:val="000000"/>
                <w:sz w:val="20"/>
              </w:rPr>
            </w:pPr>
            <w:r w:rsidRPr="00670114">
              <w:rPr>
                <w:rFonts w:cs="Arial"/>
                <w:color w:val="000000"/>
                <w:sz w:val="20"/>
              </w:rPr>
              <w:t> </w:t>
            </w:r>
          </w:p>
        </w:tc>
        <w:tc>
          <w:tcPr>
            <w:tcW w:w="1334" w:type="dxa"/>
            <w:tcBorders>
              <w:top w:val="nil"/>
              <w:left w:val="nil"/>
              <w:bottom w:val="single" w:sz="4" w:space="0" w:color="auto"/>
              <w:right w:val="nil"/>
            </w:tcBorders>
            <w:shd w:val="clear" w:color="000000" w:fill="FFFFFF"/>
            <w:noWrap/>
            <w:vAlign w:val="bottom"/>
            <w:hideMark/>
          </w:tcPr>
          <w:p w:rsidR="00F6773F" w:rsidRPr="004B380D" w:rsidRDefault="00670114" w:rsidP="00F6773F">
            <w:pPr>
              <w:rPr>
                <w:rFonts w:cs="Arial"/>
                <w:color w:val="000000"/>
                <w:sz w:val="20"/>
              </w:rPr>
            </w:pPr>
            <w:r w:rsidRPr="00670114">
              <w:rPr>
                <w:rFonts w:cs="Arial"/>
                <w:color w:val="000000"/>
                <w:sz w:val="20"/>
              </w:rPr>
              <w:t> </w:t>
            </w:r>
          </w:p>
        </w:tc>
        <w:tc>
          <w:tcPr>
            <w:tcW w:w="830" w:type="dxa"/>
            <w:tcBorders>
              <w:top w:val="nil"/>
              <w:left w:val="nil"/>
              <w:bottom w:val="single" w:sz="4" w:space="0" w:color="auto"/>
              <w:right w:val="nil"/>
            </w:tcBorders>
            <w:shd w:val="clear" w:color="000000" w:fill="FFFFFF"/>
            <w:noWrap/>
            <w:vAlign w:val="bottom"/>
            <w:hideMark/>
          </w:tcPr>
          <w:p w:rsidR="00F6773F" w:rsidRPr="004B380D" w:rsidRDefault="00670114" w:rsidP="00F6773F">
            <w:pPr>
              <w:rPr>
                <w:rFonts w:cs="Arial"/>
                <w:color w:val="000000"/>
                <w:sz w:val="20"/>
              </w:rPr>
            </w:pPr>
            <w:r w:rsidRPr="00670114">
              <w:rPr>
                <w:rFonts w:cs="Arial"/>
                <w:color w:val="000000"/>
                <w:sz w:val="20"/>
              </w:rPr>
              <w:t> </w:t>
            </w:r>
          </w:p>
        </w:tc>
        <w:tc>
          <w:tcPr>
            <w:tcW w:w="283" w:type="dxa"/>
            <w:tcBorders>
              <w:top w:val="nil"/>
              <w:left w:val="nil"/>
              <w:bottom w:val="single" w:sz="4" w:space="0" w:color="auto"/>
              <w:right w:val="nil"/>
            </w:tcBorders>
            <w:shd w:val="clear" w:color="000000" w:fill="FFFFFF"/>
            <w:noWrap/>
            <w:vAlign w:val="bottom"/>
            <w:hideMark/>
          </w:tcPr>
          <w:p w:rsidR="00F6773F" w:rsidRPr="00F6773F" w:rsidRDefault="00F6773F" w:rsidP="00F6773F">
            <w:pPr>
              <w:rPr>
                <w:rFonts w:cs="Arial"/>
                <w:color w:val="000000"/>
                <w:sz w:val="20"/>
              </w:rPr>
            </w:pPr>
            <w:r w:rsidRPr="00F6773F">
              <w:rPr>
                <w:rFonts w:cs="Arial"/>
                <w:color w:val="000000"/>
                <w:sz w:val="20"/>
              </w:rPr>
              <w:t> </w:t>
            </w:r>
          </w:p>
        </w:tc>
        <w:tc>
          <w:tcPr>
            <w:tcW w:w="1349" w:type="dxa"/>
            <w:tcBorders>
              <w:top w:val="nil"/>
              <w:left w:val="nil"/>
              <w:bottom w:val="single" w:sz="4" w:space="0" w:color="auto"/>
              <w:right w:val="nil"/>
            </w:tcBorders>
            <w:shd w:val="clear" w:color="000000" w:fill="FFFFFF"/>
            <w:noWrap/>
            <w:vAlign w:val="bottom"/>
            <w:hideMark/>
          </w:tcPr>
          <w:p w:rsidR="00F6773F" w:rsidRPr="00F6773F" w:rsidRDefault="00F6773F" w:rsidP="00F6773F">
            <w:pPr>
              <w:rPr>
                <w:rFonts w:cs="Arial"/>
                <w:color w:val="000000"/>
                <w:sz w:val="20"/>
              </w:rPr>
            </w:pPr>
            <w:r w:rsidRPr="00F6773F">
              <w:rPr>
                <w:rFonts w:cs="Arial"/>
                <w:color w:val="000000"/>
                <w:sz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F6773F" w:rsidRPr="00F6773F" w:rsidRDefault="00F6773F" w:rsidP="00F6773F">
            <w:pPr>
              <w:rPr>
                <w:rFonts w:cs="Arial"/>
                <w:color w:val="000000"/>
                <w:sz w:val="20"/>
              </w:rPr>
            </w:pPr>
            <w:r w:rsidRPr="00F6773F">
              <w:rPr>
                <w:rFonts w:cs="Arial"/>
                <w:color w:val="000000"/>
                <w:sz w:val="20"/>
              </w:rPr>
              <w:t> </w:t>
            </w:r>
          </w:p>
        </w:tc>
      </w:tr>
    </w:tbl>
    <w:p w:rsidR="00F6773F" w:rsidRDefault="00F6773F" w:rsidP="002E5FF6">
      <w:pPr>
        <w:spacing w:after="120"/>
        <w:ind w:left="567"/>
        <w:jc w:val="both"/>
        <w:rPr>
          <w:szCs w:val="24"/>
        </w:rPr>
      </w:pPr>
    </w:p>
    <w:p w:rsidR="004B380D" w:rsidRDefault="004B380D" w:rsidP="002E5FF6">
      <w:pPr>
        <w:spacing w:after="120"/>
        <w:ind w:left="567"/>
        <w:jc w:val="both"/>
        <w:rPr>
          <w:szCs w:val="24"/>
        </w:rPr>
      </w:pPr>
    </w:p>
    <w:p w:rsidR="004B380D" w:rsidRDefault="004B380D" w:rsidP="002E5FF6">
      <w:pPr>
        <w:spacing w:after="120"/>
        <w:ind w:left="567"/>
        <w:jc w:val="both"/>
        <w:rPr>
          <w:szCs w:val="24"/>
        </w:rPr>
      </w:pPr>
    </w:p>
    <w:p w:rsidR="004B380D" w:rsidRDefault="004B380D" w:rsidP="002E5FF6">
      <w:pPr>
        <w:spacing w:after="120"/>
        <w:ind w:left="567"/>
        <w:jc w:val="both"/>
        <w:rPr>
          <w:szCs w:val="24"/>
        </w:rPr>
      </w:pPr>
    </w:p>
    <w:p w:rsidR="004B380D" w:rsidRDefault="004B380D" w:rsidP="002E5FF6">
      <w:pPr>
        <w:spacing w:after="120"/>
        <w:ind w:left="567"/>
        <w:jc w:val="both"/>
        <w:rPr>
          <w:szCs w:val="24"/>
        </w:rPr>
      </w:pPr>
    </w:p>
    <w:p w:rsidR="004B380D" w:rsidRDefault="004B380D" w:rsidP="002E5FF6">
      <w:pPr>
        <w:spacing w:after="120"/>
        <w:ind w:left="567"/>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2E5FF6" w:rsidTr="002E5FF6">
        <w:tc>
          <w:tcPr>
            <w:tcW w:w="5058" w:type="dxa"/>
          </w:tcPr>
          <w:p w:rsidR="002E5FF6" w:rsidRDefault="002E5FF6" w:rsidP="002E5FF6">
            <w:pPr>
              <w:rPr>
                <w:b/>
                <w:szCs w:val="24"/>
              </w:rPr>
            </w:pPr>
          </w:p>
          <w:p w:rsidR="004B380D" w:rsidRDefault="004B380D"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BA6F7E" w:rsidRDefault="002E5FF6" w:rsidP="002E5FF6">
            <w:pPr>
              <w:rPr>
                <w:b/>
                <w:szCs w:val="24"/>
              </w:rPr>
            </w:pPr>
            <w:r w:rsidRPr="00BA6F7E">
              <w:rPr>
                <w:b/>
                <w:szCs w:val="24"/>
              </w:rPr>
              <w:t>Fixed Interest Securities</w:t>
            </w:r>
          </w:p>
        </w:tc>
        <w:tc>
          <w:tcPr>
            <w:tcW w:w="1559"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058" w:type="dxa"/>
          </w:tcPr>
          <w:p w:rsidR="002E5FF6" w:rsidRDefault="002E5FF6" w:rsidP="002E5FF6">
            <w:pPr>
              <w:rPr>
                <w:szCs w:val="24"/>
              </w:rPr>
            </w:pPr>
            <w:r>
              <w:rPr>
                <w:szCs w:val="24"/>
              </w:rPr>
              <w:t>UK public sector quoted</w:t>
            </w:r>
          </w:p>
        </w:tc>
        <w:tc>
          <w:tcPr>
            <w:tcW w:w="1559" w:type="dxa"/>
          </w:tcPr>
          <w:p w:rsidR="002E5FF6" w:rsidRPr="007A07AD" w:rsidRDefault="002E5FF6" w:rsidP="002E5FF6">
            <w:pPr>
              <w:jc w:val="right"/>
              <w:rPr>
                <w:szCs w:val="24"/>
              </w:rPr>
            </w:pPr>
            <w:r>
              <w:rPr>
                <w:szCs w:val="24"/>
              </w:rPr>
              <w:t>294.9</w:t>
            </w:r>
          </w:p>
        </w:tc>
        <w:tc>
          <w:tcPr>
            <w:tcW w:w="430" w:type="dxa"/>
            <w:tcBorders>
              <w:right w:val="single" w:sz="4" w:space="0" w:color="FFFFFF" w:themeColor="background1"/>
            </w:tcBorders>
          </w:tcPr>
          <w:p w:rsidR="002E5FF6" w:rsidRPr="007A07AD" w:rsidRDefault="002E5FF6" w:rsidP="002E5FF6">
            <w:pPr>
              <w:jc w:val="center"/>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234.3</w:t>
            </w:r>
          </w:p>
        </w:tc>
      </w:tr>
      <w:tr w:rsidR="002E5FF6" w:rsidRPr="007A07AD" w:rsidTr="002E5FF6">
        <w:tc>
          <w:tcPr>
            <w:tcW w:w="5058" w:type="dxa"/>
          </w:tcPr>
          <w:p w:rsidR="002E5FF6" w:rsidRDefault="002E5FF6" w:rsidP="002E5FF6">
            <w:pPr>
              <w:rPr>
                <w:szCs w:val="24"/>
              </w:rPr>
            </w:pPr>
            <w:r>
              <w:rPr>
                <w:szCs w:val="24"/>
              </w:rPr>
              <w:t>UK corporate bonds quoted</w:t>
            </w:r>
          </w:p>
        </w:tc>
        <w:tc>
          <w:tcPr>
            <w:tcW w:w="1559" w:type="dxa"/>
          </w:tcPr>
          <w:p w:rsidR="002E5FF6" w:rsidRDefault="002E5FF6" w:rsidP="002E5FF6">
            <w:pPr>
              <w:jc w:val="right"/>
              <w:rPr>
                <w:szCs w:val="24"/>
              </w:rPr>
            </w:pPr>
            <w:r>
              <w:rPr>
                <w:szCs w:val="24"/>
              </w:rPr>
              <w:t>225.0</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2E5FF6" w:rsidP="002E5FF6">
            <w:pPr>
              <w:jc w:val="right"/>
              <w:rPr>
                <w:szCs w:val="24"/>
              </w:rPr>
            </w:pPr>
            <w:r>
              <w:rPr>
                <w:szCs w:val="24"/>
              </w:rPr>
              <w:t>289.0</w:t>
            </w:r>
          </w:p>
        </w:tc>
      </w:tr>
      <w:tr w:rsidR="002E5FF6" w:rsidRPr="007A07AD" w:rsidTr="002E5FF6">
        <w:tc>
          <w:tcPr>
            <w:tcW w:w="5058" w:type="dxa"/>
          </w:tcPr>
          <w:p w:rsidR="002E5FF6" w:rsidRDefault="002E5FF6" w:rsidP="002E5FF6">
            <w:pPr>
              <w:rPr>
                <w:szCs w:val="24"/>
              </w:rPr>
            </w:pPr>
            <w:r>
              <w:rPr>
                <w:szCs w:val="24"/>
              </w:rPr>
              <w:t>Overseas corporate bonds</w:t>
            </w:r>
            <w:r w:rsidR="00E73720">
              <w:rPr>
                <w:szCs w:val="24"/>
              </w:rPr>
              <w:t xml:space="preserve"> quoted</w:t>
            </w:r>
          </w:p>
        </w:tc>
        <w:tc>
          <w:tcPr>
            <w:tcW w:w="1559" w:type="dxa"/>
            <w:tcBorders>
              <w:bottom w:val="single" w:sz="18" w:space="0" w:color="auto"/>
            </w:tcBorders>
          </w:tcPr>
          <w:p w:rsidR="002E5FF6" w:rsidRDefault="002E5FF6" w:rsidP="002E5FF6">
            <w:pPr>
              <w:jc w:val="right"/>
              <w:rPr>
                <w:szCs w:val="24"/>
              </w:rPr>
            </w:pPr>
            <w:r>
              <w:rPr>
                <w:szCs w:val="24"/>
              </w:rPr>
              <w:t>323.7</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Default="002E5FF6" w:rsidP="002E5FF6">
            <w:pPr>
              <w:jc w:val="right"/>
              <w:rPr>
                <w:szCs w:val="24"/>
              </w:rPr>
            </w:pPr>
            <w:r>
              <w:rPr>
                <w:szCs w:val="24"/>
              </w:rPr>
              <w:t>100.1</w:t>
            </w:r>
          </w:p>
        </w:tc>
      </w:tr>
      <w:tr w:rsidR="002E5FF6" w:rsidRPr="007A07AD" w:rsidTr="009254A2">
        <w:tc>
          <w:tcPr>
            <w:tcW w:w="5058" w:type="dxa"/>
          </w:tcPr>
          <w:p w:rsidR="002E5FF6" w:rsidRDefault="002E5FF6" w:rsidP="002E5FF6">
            <w:pPr>
              <w:rPr>
                <w:szCs w:val="24"/>
              </w:rPr>
            </w:pPr>
          </w:p>
        </w:tc>
        <w:tc>
          <w:tcPr>
            <w:tcW w:w="1559" w:type="dxa"/>
            <w:tcBorders>
              <w:top w:val="single" w:sz="18" w:space="0" w:color="auto"/>
              <w:bottom w:val="single" w:sz="18" w:space="0" w:color="auto"/>
            </w:tcBorders>
          </w:tcPr>
          <w:p w:rsidR="002E5FF6" w:rsidRDefault="002E5FF6" w:rsidP="002E5FF6">
            <w:pPr>
              <w:jc w:val="right"/>
              <w:rPr>
                <w:szCs w:val="24"/>
              </w:rPr>
            </w:pPr>
            <w:r>
              <w:rPr>
                <w:szCs w:val="24"/>
              </w:rPr>
              <w:t>843.6</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2E5FF6" w:rsidP="002E5FF6">
            <w:pPr>
              <w:jc w:val="right"/>
              <w:rPr>
                <w:szCs w:val="24"/>
              </w:rPr>
            </w:pPr>
            <w:r>
              <w:rPr>
                <w:szCs w:val="24"/>
              </w:rPr>
              <w:t>623.4</w:t>
            </w:r>
          </w:p>
        </w:tc>
      </w:tr>
      <w:tr w:rsidR="00641371" w:rsidRPr="007A07AD" w:rsidTr="009254A2">
        <w:tc>
          <w:tcPr>
            <w:tcW w:w="5058" w:type="dxa"/>
          </w:tcPr>
          <w:p w:rsidR="00641371" w:rsidRDefault="00641371" w:rsidP="002E5FF6">
            <w:pPr>
              <w:rPr>
                <w:szCs w:val="24"/>
              </w:rPr>
            </w:pPr>
          </w:p>
          <w:p w:rsidR="00641371" w:rsidRDefault="00641371" w:rsidP="002E5FF6">
            <w:pPr>
              <w:rPr>
                <w:szCs w:val="24"/>
              </w:rPr>
            </w:pPr>
          </w:p>
        </w:tc>
        <w:tc>
          <w:tcPr>
            <w:tcW w:w="1559" w:type="dxa"/>
            <w:tcBorders>
              <w:top w:val="single" w:sz="18" w:space="0" w:color="auto"/>
            </w:tcBorders>
          </w:tcPr>
          <w:p w:rsidR="00641371" w:rsidRDefault="00641371" w:rsidP="002E5FF6">
            <w:pPr>
              <w:jc w:val="right"/>
              <w:rPr>
                <w:szCs w:val="24"/>
              </w:rPr>
            </w:pPr>
          </w:p>
        </w:tc>
        <w:tc>
          <w:tcPr>
            <w:tcW w:w="430" w:type="dxa"/>
          </w:tcPr>
          <w:p w:rsidR="00641371" w:rsidRPr="007A07AD" w:rsidRDefault="00641371" w:rsidP="002E5FF6">
            <w:pPr>
              <w:jc w:val="right"/>
              <w:rPr>
                <w:szCs w:val="24"/>
              </w:rPr>
            </w:pPr>
          </w:p>
        </w:tc>
        <w:tc>
          <w:tcPr>
            <w:tcW w:w="1696" w:type="dxa"/>
            <w:tcBorders>
              <w:top w:val="single" w:sz="18" w:space="0" w:color="auto"/>
            </w:tcBorders>
          </w:tcPr>
          <w:p w:rsidR="00641371" w:rsidRDefault="00641371" w:rsidP="002E5FF6">
            <w:pPr>
              <w:jc w:val="right"/>
              <w:rPr>
                <w:szCs w:val="24"/>
              </w:rPr>
            </w:pPr>
          </w:p>
        </w:tc>
      </w:tr>
      <w:tr w:rsidR="002E5FF6" w:rsidTr="002E5FF6">
        <w:tc>
          <w:tcPr>
            <w:tcW w:w="5058" w:type="dxa"/>
          </w:tcPr>
          <w:p w:rsidR="002E5FF6" w:rsidRDefault="002E5FF6" w:rsidP="002E5FF6">
            <w:pPr>
              <w:rPr>
                <w:b/>
                <w:szCs w:val="24"/>
              </w:rPr>
            </w:pPr>
          </w:p>
          <w:p w:rsidR="00376AF0" w:rsidRDefault="00376AF0" w:rsidP="002E5FF6">
            <w:pPr>
              <w:rPr>
                <w:b/>
                <w:szCs w:val="24"/>
              </w:rPr>
            </w:pPr>
          </w:p>
          <w:p w:rsidR="002E5FF6" w:rsidRDefault="002E5FF6" w:rsidP="002E5FF6">
            <w:pPr>
              <w:rPr>
                <w:b/>
                <w:szCs w:val="24"/>
              </w:rPr>
            </w:pPr>
          </w:p>
          <w:p w:rsidR="002E5FF6" w:rsidRDefault="002E5FF6" w:rsidP="002E5FF6">
            <w:pPr>
              <w:rPr>
                <w:b/>
                <w:szCs w:val="24"/>
              </w:rPr>
            </w:pPr>
          </w:p>
        </w:tc>
        <w:tc>
          <w:tcPr>
            <w:tcW w:w="1559" w:type="dxa"/>
          </w:tcPr>
          <w:p w:rsidR="00376AF0" w:rsidRDefault="00376AF0" w:rsidP="002E5FF6">
            <w:pPr>
              <w:jc w:val="right"/>
              <w:rPr>
                <w:b/>
                <w:szCs w:val="24"/>
              </w:rPr>
            </w:pPr>
          </w:p>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376AF0" w:rsidRDefault="00376AF0" w:rsidP="002E5FF6">
            <w:pPr>
              <w:jc w:val="right"/>
              <w:rPr>
                <w:b/>
                <w:szCs w:val="24"/>
              </w:rPr>
            </w:pPr>
          </w:p>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E70ECF" w:rsidRDefault="002E5FF6" w:rsidP="002E5FF6">
            <w:pPr>
              <w:rPr>
                <w:b/>
                <w:szCs w:val="24"/>
              </w:rPr>
            </w:pPr>
            <w:r w:rsidRPr="00E70ECF">
              <w:rPr>
                <w:b/>
                <w:szCs w:val="24"/>
              </w:rPr>
              <w:t>Equities</w:t>
            </w:r>
          </w:p>
        </w:tc>
        <w:tc>
          <w:tcPr>
            <w:tcW w:w="1559"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058" w:type="dxa"/>
          </w:tcPr>
          <w:p w:rsidR="002E5FF6" w:rsidRDefault="002E5FF6" w:rsidP="002E5FF6">
            <w:pPr>
              <w:rPr>
                <w:szCs w:val="24"/>
              </w:rPr>
            </w:pPr>
            <w:r>
              <w:rPr>
                <w:szCs w:val="24"/>
              </w:rPr>
              <w:t>UK quoted</w:t>
            </w:r>
          </w:p>
        </w:tc>
        <w:tc>
          <w:tcPr>
            <w:tcW w:w="1559" w:type="dxa"/>
          </w:tcPr>
          <w:p w:rsidR="002E5FF6" w:rsidRPr="007A07AD" w:rsidRDefault="002E5FF6" w:rsidP="002E5FF6">
            <w:pPr>
              <w:jc w:val="right"/>
              <w:rPr>
                <w:szCs w:val="24"/>
              </w:rPr>
            </w:pPr>
            <w:r>
              <w:rPr>
                <w:szCs w:val="24"/>
              </w:rPr>
              <w:t>218.3</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772.8</w:t>
            </w:r>
          </w:p>
        </w:tc>
      </w:tr>
      <w:tr w:rsidR="002E5FF6" w:rsidRPr="007A07AD" w:rsidTr="002E5FF6">
        <w:tc>
          <w:tcPr>
            <w:tcW w:w="5058" w:type="dxa"/>
          </w:tcPr>
          <w:p w:rsidR="002E5FF6" w:rsidRDefault="002E5FF6" w:rsidP="002E5FF6">
            <w:pPr>
              <w:rPr>
                <w:szCs w:val="24"/>
              </w:rPr>
            </w:pPr>
            <w:r>
              <w:rPr>
                <w:szCs w:val="24"/>
              </w:rPr>
              <w:t>Overseas quoted</w:t>
            </w:r>
          </w:p>
        </w:tc>
        <w:tc>
          <w:tcPr>
            <w:tcW w:w="1559" w:type="dxa"/>
            <w:tcBorders>
              <w:bottom w:val="single" w:sz="18" w:space="0" w:color="auto"/>
            </w:tcBorders>
          </w:tcPr>
          <w:p w:rsidR="002E5FF6" w:rsidRPr="007A07AD" w:rsidRDefault="002E5FF6" w:rsidP="002E5FF6">
            <w:pPr>
              <w:jc w:val="right"/>
              <w:rPr>
                <w:szCs w:val="24"/>
              </w:rPr>
            </w:pPr>
            <w:r>
              <w:rPr>
                <w:szCs w:val="24"/>
              </w:rPr>
              <w:t>1,531.0</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Default="002E5FF6" w:rsidP="002E5FF6">
            <w:pPr>
              <w:jc w:val="right"/>
              <w:rPr>
                <w:szCs w:val="24"/>
              </w:rPr>
            </w:pPr>
            <w:r>
              <w:rPr>
                <w:szCs w:val="24"/>
              </w:rPr>
              <w:t>840.9</w:t>
            </w:r>
          </w:p>
        </w:tc>
      </w:tr>
      <w:tr w:rsidR="002E5FF6" w:rsidRPr="00AA2409" w:rsidTr="002E5FF6">
        <w:tc>
          <w:tcPr>
            <w:tcW w:w="5058" w:type="dxa"/>
          </w:tcPr>
          <w:p w:rsidR="002E5FF6" w:rsidRDefault="002E5FF6" w:rsidP="002E5FF6">
            <w:pPr>
              <w:rPr>
                <w:szCs w:val="24"/>
              </w:rPr>
            </w:pPr>
          </w:p>
        </w:tc>
        <w:tc>
          <w:tcPr>
            <w:tcW w:w="1559" w:type="dxa"/>
            <w:tcBorders>
              <w:top w:val="single" w:sz="18" w:space="0" w:color="auto"/>
              <w:bottom w:val="single" w:sz="18" w:space="0" w:color="auto"/>
            </w:tcBorders>
          </w:tcPr>
          <w:p w:rsidR="002E5FF6" w:rsidRPr="00AA2409" w:rsidRDefault="002E5FF6" w:rsidP="002E5FF6">
            <w:pPr>
              <w:jc w:val="right"/>
              <w:rPr>
                <w:szCs w:val="24"/>
              </w:rPr>
            </w:pPr>
            <w:r w:rsidRPr="00AA2409">
              <w:rPr>
                <w:szCs w:val="24"/>
              </w:rPr>
              <w:t>1,749.3</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2E5FF6" w:rsidP="002E5FF6">
            <w:pPr>
              <w:jc w:val="right"/>
              <w:rPr>
                <w:szCs w:val="24"/>
              </w:rPr>
            </w:pPr>
            <w:r>
              <w:rPr>
                <w:szCs w:val="24"/>
              </w:rPr>
              <w:t>1,613.7</w:t>
            </w:r>
          </w:p>
        </w:tc>
      </w:tr>
    </w:tbl>
    <w:p w:rsidR="00C64204" w:rsidRDefault="00C64204" w:rsidP="00F332F8">
      <w:pPr>
        <w:spacing w:after="240"/>
        <w:ind w:left="720"/>
        <w:jc w:val="both"/>
        <w:rPr>
          <w:szCs w:val="24"/>
        </w:rPr>
      </w:pPr>
    </w:p>
    <w:p w:rsidR="00376AF0" w:rsidRDefault="00376AF0" w:rsidP="00F332F8">
      <w:pPr>
        <w:spacing w:after="240"/>
        <w:ind w:left="7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2E5FF6" w:rsidTr="002E5FF6">
        <w:tc>
          <w:tcPr>
            <w:tcW w:w="5058" w:type="dxa"/>
          </w:tcPr>
          <w:p w:rsidR="002E5FF6" w:rsidRDefault="002E5FF6" w:rsidP="002E5FF6">
            <w:pPr>
              <w:rPr>
                <w:b/>
                <w:szCs w:val="24"/>
              </w:rPr>
            </w:pPr>
          </w:p>
          <w:p w:rsidR="00376AF0" w:rsidRDefault="00376AF0"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E70ECF" w:rsidRDefault="002E5FF6" w:rsidP="002E5FF6">
            <w:pPr>
              <w:rPr>
                <w:b/>
                <w:szCs w:val="24"/>
              </w:rPr>
            </w:pPr>
            <w:r w:rsidRPr="00E70ECF">
              <w:rPr>
                <w:b/>
                <w:szCs w:val="24"/>
              </w:rPr>
              <w:t>Index Linked Securities</w:t>
            </w:r>
          </w:p>
        </w:tc>
        <w:tc>
          <w:tcPr>
            <w:tcW w:w="1559"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058" w:type="dxa"/>
          </w:tcPr>
          <w:p w:rsidR="002E5FF6" w:rsidRDefault="002E5FF6" w:rsidP="002E5FF6">
            <w:pPr>
              <w:rPr>
                <w:szCs w:val="24"/>
              </w:rPr>
            </w:pPr>
            <w:r>
              <w:rPr>
                <w:szCs w:val="24"/>
              </w:rPr>
              <w:t>UK quoted</w:t>
            </w:r>
          </w:p>
        </w:tc>
        <w:tc>
          <w:tcPr>
            <w:tcW w:w="1559" w:type="dxa"/>
            <w:tcBorders>
              <w:bottom w:val="single" w:sz="18" w:space="0" w:color="auto"/>
            </w:tcBorders>
          </w:tcPr>
          <w:p w:rsidR="002E5FF6" w:rsidRPr="007A07AD" w:rsidRDefault="002E5FF6" w:rsidP="002E5FF6">
            <w:pPr>
              <w:jc w:val="right"/>
              <w:rPr>
                <w:szCs w:val="24"/>
              </w:rPr>
            </w:pPr>
            <w:r>
              <w:rPr>
                <w:szCs w:val="24"/>
              </w:rPr>
              <w:t>164.9</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Pr="007A07AD" w:rsidRDefault="002E5FF6" w:rsidP="002E5FF6">
            <w:pPr>
              <w:jc w:val="right"/>
              <w:rPr>
                <w:szCs w:val="24"/>
              </w:rPr>
            </w:pPr>
            <w:r>
              <w:rPr>
                <w:szCs w:val="24"/>
              </w:rPr>
              <w:t>124.6</w:t>
            </w:r>
          </w:p>
        </w:tc>
      </w:tr>
      <w:tr w:rsidR="002E5FF6" w:rsidRPr="007A07AD" w:rsidTr="002E5FF6">
        <w:tc>
          <w:tcPr>
            <w:tcW w:w="5058" w:type="dxa"/>
          </w:tcPr>
          <w:p w:rsidR="002E5FF6" w:rsidRDefault="002E5FF6" w:rsidP="002E5FF6">
            <w:pPr>
              <w:rPr>
                <w:szCs w:val="24"/>
              </w:rPr>
            </w:pPr>
          </w:p>
        </w:tc>
        <w:tc>
          <w:tcPr>
            <w:tcW w:w="1559" w:type="dxa"/>
            <w:tcBorders>
              <w:top w:val="single" w:sz="18" w:space="0" w:color="auto"/>
              <w:bottom w:val="single" w:sz="18" w:space="0" w:color="auto"/>
            </w:tcBorders>
          </w:tcPr>
          <w:p w:rsidR="002E5FF6" w:rsidRPr="007A07AD" w:rsidRDefault="002E5FF6" w:rsidP="002E5FF6">
            <w:pPr>
              <w:jc w:val="right"/>
              <w:rPr>
                <w:szCs w:val="24"/>
              </w:rPr>
            </w:pPr>
            <w:r>
              <w:rPr>
                <w:szCs w:val="24"/>
              </w:rPr>
              <w:t>164.9</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2E5FF6" w:rsidP="002E5FF6">
            <w:pPr>
              <w:jc w:val="right"/>
              <w:rPr>
                <w:szCs w:val="24"/>
              </w:rPr>
            </w:pPr>
            <w:r>
              <w:rPr>
                <w:szCs w:val="24"/>
              </w:rPr>
              <w:t>124.6</w:t>
            </w:r>
          </w:p>
        </w:tc>
      </w:tr>
    </w:tbl>
    <w:p w:rsidR="002E5FF6" w:rsidRDefault="002E5FF6" w:rsidP="002E5FF6">
      <w:pPr>
        <w:spacing w:after="120"/>
        <w:jc w:val="both"/>
        <w:rPr>
          <w:szCs w:val="24"/>
        </w:rPr>
      </w:pPr>
    </w:p>
    <w:p w:rsidR="00376AF0" w:rsidRDefault="00376AF0" w:rsidP="002E5FF6">
      <w:pPr>
        <w:spacing w:after="120"/>
        <w:jc w:val="bot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0"/>
        <w:gridCol w:w="1417"/>
        <w:gridCol w:w="430"/>
        <w:gridCol w:w="1696"/>
      </w:tblGrid>
      <w:tr w:rsidR="002E5FF6" w:rsidTr="002E5FF6">
        <w:tc>
          <w:tcPr>
            <w:tcW w:w="5200" w:type="dxa"/>
          </w:tcPr>
          <w:p w:rsidR="002E5FF6" w:rsidRDefault="002E5FF6" w:rsidP="002E5FF6">
            <w:pPr>
              <w:rPr>
                <w:b/>
                <w:szCs w:val="24"/>
              </w:rPr>
            </w:pPr>
          </w:p>
          <w:p w:rsidR="002E5FF6" w:rsidRDefault="002E5FF6" w:rsidP="002E5FF6">
            <w:pPr>
              <w:rPr>
                <w:b/>
                <w:szCs w:val="24"/>
              </w:rPr>
            </w:pPr>
          </w:p>
          <w:p w:rsidR="002E5FF6" w:rsidRDefault="002E5FF6" w:rsidP="002E5FF6">
            <w:pPr>
              <w:rPr>
                <w:b/>
                <w:szCs w:val="24"/>
              </w:rPr>
            </w:pPr>
          </w:p>
        </w:tc>
        <w:tc>
          <w:tcPr>
            <w:tcW w:w="1417"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200" w:type="dxa"/>
          </w:tcPr>
          <w:p w:rsidR="002E5FF6" w:rsidRPr="00E70ECF" w:rsidRDefault="002E5FF6" w:rsidP="002E5FF6">
            <w:pPr>
              <w:rPr>
                <w:b/>
                <w:szCs w:val="24"/>
              </w:rPr>
            </w:pPr>
            <w:r w:rsidRPr="00E70ECF">
              <w:rPr>
                <w:b/>
                <w:szCs w:val="24"/>
              </w:rPr>
              <w:t>Pooled Investment Vehicles</w:t>
            </w:r>
          </w:p>
        </w:tc>
        <w:tc>
          <w:tcPr>
            <w:tcW w:w="1417"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200" w:type="dxa"/>
          </w:tcPr>
          <w:p w:rsidR="002E5FF6" w:rsidRPr="00006951" w:rsidRDefault="006A3CE4" w:rsidP="002E5FF6">
            <w:pPr>
              <w:rPr>
                <w:b/>
                <w:szCs w:val="24"/>
              </w:rPr>
            </w:pPr>
            <w:r>
              <w:rPr>
                <w:b/>
                <w:szCs w:val="24"/>
              </w:rPr>
              <w:t>UK Managed Funds:</w:t>
            </w:r>
          </w:p>
          <w:p w:rsidR="00006951" w:rsidRDefault="00006951" w:rsidP="002E5FF6">
            <w:pPr>
              <w:rPr>
                <w:szCs w:val="24"/>
              </w:rPr>
            </w:pPr>
            <w:r>
              <w:rPr>
                <w:szCs w:val="24"/>
              </w:rPr>
              <w:t>Equities</w:t>
            </w:r>
          </w:p>
        </w:tc>
        <w:tc>
          <w:tcPr>
            <w:tcW w:w="1417" w:type="dxa"/>
          </w:tcPr>
          <w:p w:rsidR="002E5FF6" w:rsidRDefault="002E5FF6" w:rsidP="002E5FF6">
            <w:pPr>
              <w:jc w:val="right"/>
              <w:rPr>
                <w:szCs w:val="24"/>
              </w:rPr>
            </w:pPr>
          </w:p>
          <w:p w:rsidR="00006951" w:rsidRPr="007A07AD" w:rsidRDefault="00006951" w:rsidP="002E5FF6">
            <w:pPr>
              <w:jc w:val="right"/>
              <w:rPr>
                <w:szCs w:val="24"/>
              </w:rPr>
            </w:pPr>
            <w:r>
              <w:rPr>
                <w:szCs w:val="24"/>
              </w:rPr>
              <w:t>166.0</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2E5FF6" w:rsidP="002E5FF6">
            <w:pPr>
              <w:jc w:val="right"/>
              <w:rPr>
                <w:szCs w:val="24"/>
              </w:rPr>
            </w:pPr>
          </w:p>
          <w:p w:rsidR="00006951" w:rsidRPr="007A07AD" w:rsidRDefault="00006951" w:rsidP="002E5FF6">
            <w:pPr>
              <w:jc w:val="right"/>
              <w:rPr>
                <w:szCs w:val="24"/>
              </w:rPr>
            </w:pPr>
            <w:r>
              <w:rPr>
                <w:szCs w:val="24"/>
              </w:rPr>
              <w:t>537.0</w:t>
            </w:r>
          </w:p>
        </w:tc>
      </w:tr>
      <w:tr w:rsidR="002E5FF6" w:rsidRPr="007A07AD" w:rsidTr="002E5FF6">
        <w:tc>
          <w:tcPr>
            <w:tcW w:w="5200" w:type="dxa"/>
          </w:tcPr>
          <w:p w:rsidR="00976552" w:rsidRDefault="00006951">
            <w:pPr>
              <w:rPr>
                <w:szCs w:val="24"/>
              </w:rPr>
            </w:pPr>
            <w:r>
              <w:rPr>
                <w:szCs w:val="24"/>
              </w:rPr>
              <w:t xml:space="preserve">Private </w:t>
            </w:r>
            <w:r w:rsidR="004C16B2">
              <w:rPr>
                <w:szCs w:val="24"/>
              </w:rPr>
              <w:t>E</w:t>
            </w:r>
            <w:r>
              <w:rPr>
                <w:szCs w:val="24"/>
              </w:rPr>
              <w:t>quity</w:t>
            </w:r>
          </w:p>
        </w:tc>
        <w:tc>
          <w:tcPr>
            <w:tcW w:w="1417" w:type="dxa"/>
          </w:tcPr>
          <w:p w:rsidR="002E5FF6" w:rsidRPr="007A07AD" w:rsidRDefault="00006951" w:rsidP="002E5FF6">
            <w:pPr>
              <w:jc w:val="right"/>
              <w:rPr>
                <w:szCs w:val="24"/>
              </w:rPr>
            </w:pPr>
            <w:r>
              <w:rPr>
                <w:szCs w:val="24"/>
              </w:rPr>
              <w:t>120.6</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006951" w:rsidP="002E5FF6">
            <w:pPr>
              <w:jc w:val="right"/>
              <w:rPr>
                <w:szCs w:val="24"/>
              </w:rPr>
            </w:pPr>
            <w:r>
              <w:rPr>
                <w:szCs w:val="24"/>
              </w:rPr>
              <w:t>31.9</w:t>
            </w:r>
          </w:p>
        </w:tc>
      </w:tr>
      <w:tr w:rsidR="002E5FF6" w:rsidRPr="007A07AD" w:rsidTr="002E5FF6">
        <w:tc>
          <w:tcPr>
            <w:tcW w:w="5200" w:type="dxa"/>
          </w:tcPr>
          <w:p w:rsidR="002E5FF6" w:rsidRDefault="00006951" w:rsidP="002E5FF6">
            <w:pPr>
              <w:rPr>
                <w:szCs w:val="24"/>
              </w:rPr>
            </w:pPr>
            <w:r>
              <w:rPr>
                <w:szCs w:val="24"/>
              </w:rPr>
              <w:t>Infrastructure</w:t>
            </w:r>
          </w:p>
        </w:tc>
        <w:tc>
          <w:tcPr>
            <w:tcW w:w="1417" w:type="dxa"/>
          </w:tcPr>
          <w:p w:rsidR="002E5FF6" w:rsidRDefault="00006951" w:rsidP="002E5FF6">
            <w:pPr>
              <w:jc w:val="right"/>
              <w:rPr>
                <w:szCs w:val="24"/>
              </w:rPr>
            </w:pPr>
            <w:r>
              <w:rPr>
                <w:szCs w:val="24"/>
              </w:rPr>
              <w:t>98.2</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006951" w:rsidP="002E5FF6">
            <w:pPr>
              <w:jc w:val="right"/>
              <w:rPr>
                <w:szCs w:val="24"/>
              </w:rPr>
            </w:pPr>
            <w:r>
              <w:rPr>
                <w:szCs w:val="24"/>
              </w:rPr>
              <w:t>67.6</w:t>
            </w:r>
          </w:p>
        </w:tc>
      </w:tr>
      <w:tr w:rsidR="00DA322F" w:rsidRPr="007A07AD" w:rsidTr="002E5FF6">
        <w:tc>
          <w:tcPr>
            <w:tcW w:w="5200" w:type="dxa"/>
          </w:tcPr>
          <w:p w:rsidR="00DA322F" w:rsidRPr="00DA322F" w:rsidRDefault="00670114" w:rsidP="002E5FF6">
            <w:r w:rsidRPr="00670114">
              <w:t>Fixed Income</w:t>
            </w:r>
          </w:p>
        </w:tc>
        <w:tc>
          <w:tcPr>
            <w:tcW w:w="1417" w:type="dxa"/>
          </w:tcPr>
          <w:p w:rsidR="00DA322F" w:rsidRDefault="00DA322F" w:rsidP="002E5FF6">
            <w:pPr>
              <w:jc w:val="right"/>
              <w:rPr>
                <w:szCs w:val="24"/>
              </w:rPr>
            </w:pPr>
            <w:r>
              <w:rPr>
                <w:szCs w:val="24"/>
              </w:rPr>
              <w:t>-</w:t>
            </w:r>
          </w:p>
        </w:tc>
        <w:tc>
          <w:tcPr>
            <w:tcW w:w="430" w:type="dxa"/>
            <w:tcBorders>
              <w:right w:val="single" w:sz="4" w:space="0" w:color="FFFFFF" w:themeColor="background1"/>
            </w:tcBorders>
          </w:tcPr>
          <w:p w:rsidR="00DA322F" w:rsidRPr="007A07AD" w:rsidRDefault="00DA322F" w:rsidP="002E5FF6">
            <w:pPr>
              <w:jc w:val="right"/>
              <w:rPr>
                <w:szCs w:val="24"/>
              </w:rPr>
            </w:pPr>
          </w:p>
        </w:tc>
        <w:tc>
          <w:tcPr>
            <w:tcW w:w="1696" w:type="dxa"/>
            <w:tcBorders>
              <w:left w:val="single" w:sz="4" w:space="0" w:color="FFFFFF" w:themeColor="background1"/>
            </w:tcBorders>
          </w:tcPr>
          <w:p w:rsidR="00DA322F" w:rsidRDefault="00DA322F" w:rsidP="002E5FF6">
            <w:pPr>
              <w:jc w:val="right"/>
              <w:rPr>
                <w:szCs w:val="24"/>
              </w:rPr>
            </w:pPr>
            <w:r>
              <w:rPr>
                <w:szCs w:val="24"/>
              </w:rPr>
              <w:t>192.2</w:t>
            </w:r>
          </w:p>
        </w:tc>
      </w:tr>
      <w:tr w:rsidR="002E5FF6" w:rsidRPr="007A07AD" w:rsidTr="002E5FF6">
        <w:tc>
          <w:tcPr>
            <w:tcW w:w="5200" w:type="dxa"/>
          </w:tcPr>
          <w:p w:rsidR="002E5FF6" w:rsidRPr="00006951" w:rsidRDefault="00F25BB1" w:rsidP="002E5FF6">
            <w:pPr>
              <w:rPr>
                <w:b/>
              </w:rPr>
            </w:pPr>
            <w:r w:rsidRPr="00F25BB1">
              <w:rPr>
                <w:b/>
              </w:rPr>
              <w:t>O/S Managed Funds:</w:t>
            </w:r>
          </w:p>
        </w:tc>
        <w:tc>
          <w:tcPr>
            <w:tcW w:w="1417" w:type="dxa"/>
          </w:tcPr>
          <w:p w:rsidR="002E5FF6"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2E5FF6" w:rsidP="002E5FF6">
            <w:pPr>
              <w:jc w:val="right"/>
              <w:rPr>
                <w:szCs w:val="24"/>
              </w:rPr>
            </w:pPr>
          </w:p>
        </w:tc>
      </w:tr>
      <w:tr w:rsidR="002E5FF6" w:rsidRPr="007A07AD" w:rsidTr="002E5FF6">
        <w:tc>
          <w:tcPr>
            <w:tcW w:w="5200" w:type="dxa"/>
          </w:tcPr>
          <w:p w:rsidR="002E5FF6" w:rsidRDefault="00006951" w:rsidP="002E5FF6">
            <w:pPr>
              <w:rPr>
                <w:szCs w:val="24"/>
              </w:rPr>
            </w:pPr>
            <w:r>
              <w:rPr>
                <w:szCs w:val="24"/>
              </w:rPr>
              <w:t>Equities</w:t>
            </w:r>
          </w:p>
        </w:tc>
        <w:tc>
          <w:tcPr>
            <w:tcW w:w="1417" w:type="dxa"/>
          </w:tcPr>
          <w:p w:rsidR="002E5FF6" w:rsidRDefault="00006951" w:rsidP="002E5FF6">
            <w:pPr>
              <w:jc w:val="right"/>
              <w:rPr>
                <w:szCs w:val="24"/>
              </w:rPr>
            </w:pPr>
            <w:r>
              <w:rPr>
                <w:szCs w:val="24"/>
              </w:rPr>
              <w:t>632.2</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006951" w:rsidP="002E5FF6">
            <w:pPr>
              <w:jc w:val="right"/>
              <w:rPr>
                <w:szCs w:val="24"/>
              </w:rPr>
            </w:pPr>
            <w:r>
              <w:rPr>
                <w:szCs w:val="24"/>
              </w:rPr>
              <w:t>400.3</w:t>
            </w:r>
          </w:p>
        </w:tc>
      </w:tr>
      <w:tr w:rsidR="00006951" w:rsidRPr="007A07AD" w:rsidTr="002E5FF6">
        <w:tc>
          <w:tcPr>
            <w:tcW w:w="5200" w:type="dxa"/>
          </w:tcPr>
          <w:p w:rsidR="00976552" w:rsidRDefault="00006951">
            <w:pPr>
              <w:rPr>
                <w:szCs w:val="24"/>
              </w:rPr>
            </w:pPr>
            <w:r>
              <w:rPr>
                <w:szCs w:val="24"/>
              </w:rPr>
              <w:t xml:space="preserve">Private </w:t>
            </w:r>
            <w:r w:rsidR="004C16B2">
              <w:rPr>
                <w:szCs w:val="24"/>
              </w:rPr>
              <w:t>E</w:t>
            </w:r>
            <w:r>
              <w:rPr>
                <w:szCs w:val="24"/>
              </w:rPr>
              <w:t>quity</w:t>
            </w:r>
          </w:p>
        </w:tc>
        <w:tc>
          <w:tcPr>
            <w:tcW w:w="1417" w:type="dxa"/>
          </w:tcPr>
          <w:p w:rsidR="00006951" w:rsidRDefault="00006951" w:rsidP="002E5FF6">
            <w:pPr>
              <w:jc w:val="right"/>
              <w:rPr>
                <w:szCs w:val="24"/>
              </w:rPr>
            </w:pPr>
            <w:r>
              <w:rPr>
                <w:szCs w:val="24"/>
              </w:rPr>
              <w:t>108.5</w:t>
            </w:r>
          </w:p>
        </w:tc>
        <w:tc>
          <w:tcPr>
            <w:tcW w:w="430" w:type="dxa"/>
            <w:tcBorders>
              <w:right w:val="single" w:sz="4" w:space="0" w:color="FFFFFF" w:themeColor="background1"/>
            </w:tcBorders>
          </w:tcPr>
          <w:p w:rsidR="00006951" w:rsidRPr="007A07AD" w:rsidRDefault="00006951" w:rsidP="002E5FF6">
            <w:pPr>
              <w:jc w:val="right"/>
              <w:rPr>
                <w:szCs w:val="24"/>
              </w:rPr>
            </w:pPr>
          </w:p>
        </w:tc>
        <w:tc>
          <w:tcPr>
            <w:tcW w:w="1696" w:type="dxa"/>
            <w:tcBorders>
              <w:left w:val="single" w:sz="4" w:space="0" w:color="FFFFFF" w:themeColor="background1"/>
            </w:tcBorders>
          </w:tcPr>
          <w:p w:rsidR="00006951" w:rsidRDefault="00006951" w:rsidP="002E5FF6">
            <w:pPr>
              <w:jc w:val="right"/>
              <w:rPr>
                <w:szCs w:val="24"/>
              </w:rPr>
            </w:pPr>
            <w:r>
              <w:rPr>
                <w:szCs w:val="24"/>
              </w:rPr>
              <w:t>182.3</w:t>
            </w:r>
          </w:p>
        </w:tc>
      </w:tr>
      <w:tr w:rsidR="00006951" w:rsidRPr="007A07AD" w:rsidTr="002E5FF6">
        <w:tc>
          <w:tcPr>
            <w:tcW w:w="5200" w:type="dxa"/>
          </w:tcPr>
          <w:p w:rsidR="00006951" w:rsidRDefault="00006951" w:rsidP="002E5FF6">
            <w:pPr>
              <w:rPr>
                <w:szCs w:val="24"/>
              </w:rPr>
            </w:pPr>
            <w:r>
              <w:rPr>
                <w:szCs w:val="24"/>
              </w:rPr>
              <w:t>Infrastructure</w:t>
            </w:r>
          </w:p>
        </w:tc>
        <w:tc>
          <w:tcPr>
            <w:tcW w:w="1417" w:type="dxa"/>
          </w:tcPr>
          <w:p w:rsidR="00006951" w:rsidRDefault="00006951" w:rsidP="002E5FF6">
            <w:pPr>
              <w:jc w:val="right"/>
              <w:rPr>
                <w:szCs w:val="24"/>
              </w:rPr>
            </w:pPr>
            <w:r>
              <w:rPr>
                <w:szCs w:val="24"/>
              </w:rPr>
              <w:t>56.2</w:t>
            </w:r>
          </w:p>
        </w:tc>
        <w:tc>
          <w:tcPr>
            <w:tcW w:w="430" w:type="dxa"/>
            <w:tcBorders>
              <w:right w:val="single" w:sz="4" w:space="0" w:color="FFFFFF" w:themeColor="background1"/>
            </w:tcBorders>
          </w:tcPr>
          <w:p w:rsidR="00006951" w:rsidRPr="007A07AD" w:rsidRDefault="00006951" w:rsidP="002E5FF6">
            <w:pPr>
              <w:jc w:val="right"/>
              <w:rPr>
                <w:szCs w:val="24"/>
              </w:rPr>
            </w:pPr>
          </w:p>
        </w:tc>
        <w:tc>
          <w:tcPr>
            <w:tcW w:w="1696" w:type="dxa"/>
            <w:tcBorders>
              <w:left w:val="single" w:sz="4" w:space="0" w:color="FFFFFF" w:themeColor="background1"/>
            </w:tcBorders>
          </w:tcPr>
          <w:p w:rsidR="00006951" w:rsidRDefault="00006951" w:rsidP="002E5FF6">
            <w:pPr>
              <w:jc w:val="right"/>
              <w:rPr>
                <w:szCs w:val="24"/>
              </w:rPr>
            </w:pPr>
            <w:r>
              <w:rPr>
                <w:szCs w:val="24"/>
              </w:rPr>
              <w:t>5.7</w:t>
            </w:r>
          </w:p>
        </w:tc>
      </w:tr>
      <w:tr w:rsidR="00006951" w:rsidRPr="007A07AD" w:rsidTr="002E5FF6">
        <w:tc>
          <w:tcPr>
            <w:tcW w:w="5200" w:type="dxa"/>
          </w:tcPr>
          <w:p w:rsidR="00006951" w:rsidRDefault="00006951" w:rsidP="002E5FF6">
            <w:pPr>
              <w:rPr>
                <w:szCs w:val="24"/>
              </w:rPr>
            </w:pPr>
            <w:r>
              <w:rPr>
                <w:szCs w:val="24"/>
              </w:rPr>
              <w:t>Property</w:t>
            </w:r>
          </w:p>
        </w:tc>
        <w:tc>
          <w:tcPr>
            <w:tcW w:w="1417" w:type="dxa"/>
          </w:tcPr>
          <w:p w:rsidR="00006951" w:rsidRDefault="00006951" w:rsidP="002E5FF6">
            <w:pPr>
              <w:jc w:val="right"/>
              <w:rPr>
                <w:szCs w:val="24"/>
              </w:rPr>
            </w:pPr>
            <w:r>
              <w:rPr>
                <w:szCs w:val="24"/>
              </w:rPr>
              <w:t>7.5</w:t>
            </w:r>
          </w:p>
        </w:tc>
        <w:tc>
          <w:tcPr>
            <w:tcW w:w="430" w:type="dxa"/>
            <w:tcBorders>
              <w:right w:val="single" w:sz="4" w:space="0" w:color="FFFFFF" w:themeColor="background1"/>
            </w:tcBorders>
          </w:tcPr>
          <w:p w:rsidR="00006951" w:rsidRPr="007A07AD" w:rsidRDefault="00006951" w:rsidP="002E5FF6">
            <w:pPr>
              <w:jc w:val="right"/>
              <w:rPr>
                <w:szCs w:val="24"/>
              </w:rPr>
            </w:pPr>
          </w:p>
        </w:tc>
        <w:tc>
          <w:tcPr>
            <w:tcW w:w="1696" w:type="dxa"/>
            <w:tcBorders>
              <w:left w:val="single" w:sz="4" w:space="0" w:color="FFFFFF" w:themeColor="background1"/>
            </w:tcBorders>
          </w:tcPr>
          <w:p w:rsidR="00006951" w:rsidRDefault="00006951" w:rsidP="002E5FF6">
            <w:pPr>
              <w:jc w:val="right"/>
              <w:rPr>
                <w:szCs w:val="24"/>
              </w:rPr>
            </w:pPr>
            <w:r>
              <w:rPr>
                <w:szCs w:val="24"/>
              </w:rPr>
              <w:t>-</w:t>
            </w:r>
          </w:p>
        </w:tc>
      </w:tr>
      <w:tr w:rsidR="002E5FF6" w:rsidRPr="007A07AD" w:rsidTr="002E5FF6">
        <w:tc>
          <w:tcPr>
            <w:tcW w:w="5200" w:type="dxa"/>
          </w:tcPr>
          <w:p w:rsidR="002E5FF6" w:rsidRDefault="00006951" w:rsidP="002E5FF6">
            <w:pPr>
              <w:rPr>
                <w:szCs w:val="24"/>
              </w:rPr>
            </w:pPr>
            <w:r>
              <w:rPr>
                <w:szCs w:val="24"/>
              </w:rPr>
              <w:t>Credit funds</w:t>
            </w:r>
          </w:p>
        </w:tc>
        <w:tc>
          <w:tcPr>
            <w:tcW w:w="1417" w:type="dxa"/>
          </w:tcPr>
          <w:p w:rsidR="002E5FF6" w:rsidRPr="007A07AD" w:rsidRDefault="00006951" w:rsidP="002E5FF6">
            <w:pPr>
              <w:jc w:val="right"/>
              <w:rPr>
                <w:szCs w:val="24"/>
              </w:rPr>
            </w:pPr>
            <w:r>
              <w:rPr>
                <w:szCs w:val="24"/>
              </w:rPr>
              <w:t>412.0</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Default="00006951" w:rsidP="002E5FF6">
            <w:pPr>
              <w:jc w:val="right"/>
              <w:rPr>
                <w:szCs w:val="24"/>
              </w:rPr>
            </w:pPr>
            <w:r>
              <w:rPr>
                <w:szCs w:val="24"/>
              </w:rPr>
              <w:t>49.3</w:t>
            </w:r>
          </w:p>
        </w:tc>
      </w:tr>
      <w:tr w:rsidR="002E5FF6" w:rsidRPr="007A07AD" w:rsidTr="002E5FF6">
        <w:tc>
          <w:tcPr>
            <w:tcW w:w="5200" w:type="dxa"/>
          </w:tcPr>
          <w:p w:rsidR="002E5FF6" w:rsidRDefault="002E5FF6" w:rsidP="002E5FF6">
            <w:pPr>
              <w:rPr>
                <w:szCs w:val="24"/>
              </w:rPr>
            </w:pPr>
          </w:p>
        </w:tc>
        <w:tc>
          <w:tcPr>
            <w:tcW w:w="1417" w:type="dxa"/>
            <w:tcBorders>
              <w:top w:val="single" w:sz="18" w:space="0" w:color="auto"/>
              <w:bottom w:val="single" w:sz="18" w:space="0" w:color="auto"/>
            </w:tcBorders>
          </w:tcPr>
          <w:p w:rsidR="002E5FF6" w:rsidRPr="007A07AD" w:rsidRDefault="00006951" w:rsidP="002E5FF6">
            <w:pPr>
              <w:jc w:val="right"/>
              <w:rPr>
                <w:szCs w:val="24"/>
              </w:rPr>
            </w:pPr>
            <w:r>
              <w:rPr>
                <w:szCs w:val="24"/>
              </w:rPr>
              <w:t>1</w:t>
            </w:r>
            <w:r w:rsidR="00DA322F">
              <w:rPr>
                <w:szCs w:val="24"/>
              </w:rPr>
              <w:t>,</w:t>
            </w:r>
            <w:r>
              <w:rPr>
                <w:szCs w:val="24"/>
              </w:rPr>
              <w:t>601.2</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DA322F" w:rsidP="002E5FF6">
            <w:pPr>
              <w:jc w:val="right"/>
              <w:rPr>
                <w:szCs w:val="24"/>
              </w:rPr>
            </w:pPr>
            <w:r>
              <w:rPr>
                <w:szCs w:val="24"/>
              </w:rPr>
              <w:t>1,466.3</w:t>
            </w:r>
          </w:p>
        </w:tc>
      </w:tr>
    </w:tbl>
    <w:p w:rsidR="00DA322F" w:rsidRDefault="00DA322F" w:rsidP="002E5FF6"/>
    <w:p w:rsidR="00DA322F" w:rsidRDefault="00DA322F" w:rsidP="002E5FF6"/>
    <w:p w:rsidR="00DA322F" w:rsidRDefault="00DA322F" w:rsidP="002E5FF6"/>
    <w:p w:rsidR="00C64204" w:rsidRDefault="00C64204" w:rsidP="002E5FF6"/>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2E5FF6" w:rsidTr="002E5FF6">
        <w:tc>
          <w:tcPr>
            <w:tcW w:w="5058" w:type="dxa"/>
          </w:tcPr>
          <w:p w:rsidR="002E5FF6" w:rsidRDefault="002E5FF6" w:rsidP="002E5FF6">
            <w:pPr>
              <w:rPr>
                <w:b/>
                <w:szCs w:val="24"/>
              </w:rPr>
            </w:pPr>
          </w:p>
          <w:p w:rsidR="005D21A6" w:rsidRDefault="005D21A6"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601704" w:rsidRDefault="002E5FF6" w:rsidP="002E5FF6">
            <w:pPr>
              <w:rPr>
                <w:b/>
                <w:szCs w:val="24"/>
              </w:rPr>
            </w:pPr>
            <w:r w:rsidRPr="00601704">
              <w:rPr>
                <w:b/>
                <w:szCs w:val="24"/>
              </w:rPr>
              <w:t>Properties</w:t>
            </w:r>
          </w:p>
        </w:tc>
        <w:tc>
          <w:tcPr>
            <w:tcW w:w="1559"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058" w:type="dxa"/>
          </w:tcPr>
          <w:p w:rsidR="002E5FF6" w:rsidRDefault="002E5FF6" w:rsidP="002E5FF6">
            <w:pPr>
              <w:rPr>
                <w:szCs w:val="24"/>
              </w:rPr>
            </w:pPr>
            <w:r>
              <w:rPr>
                <w:szCs w:val="24"/>
              </w:rPr>
              <w:t>UK – Freehold</w:t>
            </w:r>
          </w:p>
        </w:tc>
        <w:tc>
          <w:tcPr>
            <w:tcW w:w="1559" w:type="dxa"/>
          </w:tcPr>
          <w:p w:rsidR="002E5FF6" w:rsidRPr="007A07AD" w:rsidRDefault="002E5FF6" w:rsidP="002E5FF6">
            <w:pPr>
              <w:jc w:val="right"/>
              <w:rPr>
                <w:szCs w:val="24"/>
              </w:rPr>
            </w:pPr>
            <w:r>
              <w:rPr>
                <w:szCs w:val="24"/>
              </w:rPr>
              <w:t>346.4</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292.9</w:t>
            </w:r>
          </w:p>
        </w:tc>
      </w:tr>
      <w:tr w:rsidR="002E5FF6" w:rsidRPr="007A07AD" w:rsidTr="002E5FF6">
        <w:tc>
          <w:tcPr>
            <w:tcW w:w="5058" w:type="dxa"/>
          </w:tcPr>
          <w:p w:rsidR="002E5FF6" w:rsidRDefault="002E5FF6" w:rsidP="002E5FF6">
            <w:pPr>
              <w:rPr>
                <w:szCs w:val="24"/>
              </w:rPr>
            </w:pPr>
            <w:r>
              <w:rPr>
                <w:szCs w:val="24"/>
              </w:rPr>
              <w:t>UK – Long Leasehold</w:t>
            </w:r>
          </w:p>
        </w:tc>
        <w:tc>
          <w:tcPr>
            <w:tcW w:w="1559" w:type="dxa"/>
            <w:tcBorders>
              <w:bottom w:val="single" w:sz="18" w:space="0" w:color="auto"/>
            </w:tcBorders>
          </w:tcPr>
          <w:p w:rsidR="002E5FF6" w:rsidRPr="007A07AD" w:rsidRDefault="002E5FF6" w:rsidP="002E5FF6">
            <w:pPr>
              <w:jc w:val="right"/>
              <w:rPr>
                <w:szCs w:val="24"/>
              </w:rPr>
            </w:pPr>
            <w:r>
              <w:rPr>
                <w:szCs w:val="24"/>
              </w:rPr>
              <w:t>88.5</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Default="002E5FF6" w:rsidP="002E5FF6">
            <w:pPr>
              <w:jc w:val="right"/>
              <w:rPr>
                <w:szCs w:val="24"/>
              </w:rPr>
            </w:pPr>
            <w:r>
              <w:rPr>
                <w:szCs w:val="24"/>
              </w:rPr>
              <w:t>91.0</w:t>
            </w:r>
          </w:p>
        </w:tc>
      </w:tr>
      <w:tr w:rsidR="002E5FF6" w:rsidRPr="007A07AD" w:rsidTr="002E5FF6">
        <w:tc>
          <w:tcPr>
            <w:tcW w:w="5058" w:type="dxa"/>
          </w:tcPr>
          <w:p w:rsidR="002E5FF6" w:rsidRDefault="002E5FF6" w:rsidP="002E5FF6">
            <w:pPr>
              <w:rPr>
                <w:szCs w:val="24"/>
              </w:rPr>
            </w:pPr>
          </w:p>
        </w:tc>
        <w:tc>
          <w:tcPr>
            <w:tcW w:w="1559" w:type="dxa"/>
            <w:tcBorders>
              <w:top w:val="single" w:sz="18" w:space="0" w:color="auto"/>
              <w:bottom w:val="single" w:sz="18" w:space="0" w:color="auto"/>
            </w:tcBorders>
          </w:tcPr>
          <w:p w:rsidR="002E5FF6" w:rsidRPr="007A07AD" w:rsidRDefault="002E5FF6" w:rsidP="002E5FF6">
            <w:pPr>
              <w:jc w:val="right"/>
              <w:rPr>
                <w:szCs w:val="24"/>
              </w:rPr>
            </w:pPr>
            <w:r>
              <w:rPr>
                <w:szCs w:val="24"/>
              </w:rPr>
              <w:t>434.9</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2E5FF6" w:rsidP="002E5FF6">
            <w:pPr>
              <w:jc w:val="right"/>
              <w:rPr>
                <w:szCs w:val="24"/>
              </w:rPr>
            </w:pPr>
            <w:r>
              <w:rPr>
                <w:szCs w:val="24"/>
              </w:rPr>
              <w:t>383.9</w:t>
            </w:r>
          </w:p>
        </w:tc>
      </w:tr>
    </w:tbl>
    <w:p w:rsidR="002E5FF6" w:rsidRDefault="002E5FF6" w:rsidP="002E5FF6"/>
    <w:p w:rsidR="005D21A6" w:rsidRDefault="005D21A6" w:rsidP="002E5FF6"/>
    <w:p w:rsidR="00C64204" w:rsidRDefault="00C64204" w:rsidP="002E5FF6"/>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2E5FF6" w:rsidTr="002E5FF6">
        <w:tc>
          <w:tcPr>
            <w:tcW w:w="5058" w:type="dxa"/>
          </w:tcPr>
          <w:p w:rsidR="002E5FF6" w:rsidRDefault="002E5FF6" w:rsidP="002E5FF6">
            <w:pPr>
              <w:rPr>
                <w:b/>
                <w:szCs w:val="24"/>
              </w:rPr>
            </w:pPr>
          </w:p>
          <w:p w:rsidR="005D21A6" w:rsidRDefault="005D21A6"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7A07AD" w:rsidRDefault="002E5FF6" w:rsidP="002E5FF6">
            <w:pPr>
              <w:rPr>
                <w:szCs w:val="24"/>
              </w:rPr>
            </w:pPr>
            <w:r>
              <w:rPr>
                <w:szCs w:val="24"/>
              </w:rPr>
              <w:t>Balance at start of the year</w:t>
            </w:r>
          </w:p>
        </w:tc>
        <w:tc>
          <w:tcPr>
            <w:tcW w:w="1559" w:type="dxa"/>
          </w:tcPr>
          <w:p w:rsidR="002E5FF6" w:rsidRPr="007A07AD" w:rsidRDefault="002E5FF6" w:rsidP="002E5FF6">
            <w:pPr>
              <w:jc w:val="right"/>
              <w:rPr>
                <w:szCs w:val="24"/>
              </w:rPr>
            </w:pPr>
            <w:r>
              <w:rPr>
                <w:szCs w:val="24"/>
              </w:rPr>
              <w:t>383.9</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397.5</w:t>
            </w:r>
          </w:p>
        </w:tc>
      </w:tr>
      <w:tr w:rsidR="002E5FF6" w:rsidRPr="007A07AD" w:rsidTr="002E5FF6">
        <w:tc>
          <w:tcPr>
            <w:tcW w:w="5058" w:type="dxa"/>
          </w:tcPr>
          <w:p w:rsidR="002E5FF6" w:rsidRDefault="002E5FF6" w:rsidP="002E5FF6">
            <w:pPr>
              <w:rPr>
                <w:szCs w:val="24"/>
              </w:rPr>
            </w:pPr>
            <w:r>
              <w:rPr>
                <w:szCs w:val="24"/>
              </w:rPr>
              <w:t>Additions</w:t>
            </w:r>
          </w:p>
        </w:tc>
        <w:tc>
          <w:tcPr>
            <w:tcW w:w="1559" w:type="dxa"/>
          </w:tcPr>
          <w:p w:rsidR="002E5FF6" w:rsidRPr="007A07AD" w:rsidRDefault="002E5FF6" w:rsidP="002E5FF6">
            <w:pPr>
              <w:jc w:val="right"/>
              <w:rPr>
                <w:szCs w:val="24"/>
              </w:rPr>
            </w:pPr>
            <w:r>
              <w:rPr>
                <w:szCs w:val="24"/>
              </w:rPr>
              <w:t>72.1</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24.2</w:t>
            </w:r>
          </w:p>
        </w:tc>
      </w:tr>
      <w:tr w:rsidR="002E5FF6" w:rsidRPr="007A07AD" w:rsidTr="002E5FF6">
        <w:tc>
          <w:tcPr>
            <w:tcW w:w="5058" w:type="dxa"/>
          </w:tcPr>
          <w:p w:rsidR="002E5FF6" w:rsidRDefault="002E5FF6" w:rsidP="002E5FF6">
            <w:pPr>
              <w:rPr>
                <w:szCs w:val="24"/>
              </w:rPr>
            </w:pPr>
            <w:r>
              <w:rPr>
                <w:szCs w:val="24"/>
              </w:rPr>
              <w:t>Disposals</w:t>
            </w:r>
          </w:p>
        </w:tc>
        <w:tc>
          <w:tcPr>
            <w:tcW w:w="1559" w:type="dxa"/>
          </w:tcPr>
          <w:p w:rsidR="002E5FF6" w:rsidRPr="007A07AD" w:rsidRDefault="002E5FF6" w:rsidP="002E5FF6">
            <w:pPr>
              <w:jc w:val="right"/>
              <w:rPr>
                <w:szCs w:val="24"/>
              </w:rPr>
            </w:pPr>
            <w:r>
              <w:rPr>
                <w:szCs w:val="24"/>
              </w:rPr>
              <w:t>(5.3)</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(34.1)</w:t>
            </w:r>
          </w:p>
        </w:tc>
      </w:tr>
      <w:tr w:rsidR="002E5FF6" w:rsidRPr="007A07AD" w:rsidTr="002E5FF6">
        <w:tc>
          <w:tcPr>
            <w:tcW w:w="5058" w:type="dxa"/>
          </w:tcPr>
          <w:p w:rsidR="002E5FF6" w:rsidRDefault="002E5FF6" w:rsidP="002E5FF6">
            <w:pPr>
              <w:rPr>
                <w:szCs w:val="24"/>
              </w:rPr>
            </w:pPr>
            <w:r>
              <w:rPr>
                <w:szCs w:val="24"/>
              </w:rPr>
              <w:t>Net gain/loss on fair value</w:t>
            </w:r>
          </w:p>
        </w:tc>
        <w:tc>
          <w:tcPr>
            <w:tcW w:w="1559" w:type="dxa"/>
          </w:tcPr>
          <w:p w:rsidR="002E5FF6" w:rsidRPr="007A07AD" w:rsidRDefault="002E5FF6" w:rsidP="002E5FF6">
            <w:pPr>
              <w:jc w:val="right"/>
              <w:rPr>
                <w:szCs w:val="24"/>
              </w:rPr>
            </w:pPr>
            <w:r>
              <w:rPr>
                <w:szCs w:val="24"/>
              </w:rPr>
              <w:t>(15.8)</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(3.7)</w:t>
            </w:r>
          </w:p>
        </w:tc>
      </w:tr>
      <w:tr w:rsidR="002E5FF6" w:rsidRPr="007A07AD" w:rsidTr="002E5FF6">
        <w:tc>
          <w:tcPr>
            <w:tcW w:w="5058" w:type="dxa"/>
          </w:tcPr>
          <w:p w:rsidR="002E5FF6" w:rsidRDefault="002E5FF6" w:rsidP="002E5FF6">
            <w:pPr>
              <w:rPr>
                <w:szCs w:val="24"/>
              </w:rPr>
            </w:pPr>
            <w:r>
              <w:rPr>
                <w:szCs w:val="24"/>
              </w:rPr>
              <w:t>Balance at the end of the year</w:t>
            </w:r>
          </w:p>
        </w:tc>
        <w:tc>
          <w:tcPr>
            <w:tcW w:w="1559" w:type="dxa"/>
            <w:tcBorders>
              <w:top w:val="single" w:sz="18" w:space="0" w:color="auto"/>
              <w:bottom w:val="single" w:sz="18" w:space="0" w:color="auto"/>
            </w:tcBorders>
          </w:tcPr>
          <w:p w:rsidR="002E5FF6" w:rsidRPr="007A07AD" w:rsidRDefault="002E5FF6" w:rsidP="002E5FF6">
            <w:pPr>
              <w:jc w:val="right"/>
              <w:rPr>
                <w:szCs w:val="24"/>
              </w:rPr>
            </w:pPr>
            <w:r>
              <w:rPr>
                <w:szCs w:val="24"/>
              </w:rPr>
              <w:t>434.9</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Pr="007A07AD" w:rsidRDefault="002E5FF6" w:rsidP="002E5FF6">
            <w:pPr>
              <w:jc w:val="right"/>
              <w:rPr>
                <w:szCs w:val="24"/>
              </w:rPr>
            </w:pPr>
            <w:r>
              <w:rPr>
                <w:szCs w:val="24"/>
              </w:rPr>
              <w:t>383.9</w:t>
            </w:r>
          </w:p>
        </w:tc>
      </w:tr>
    </w:tbl>
    <w:p w:rsidR="002E5FF6" w:rsidRDefault="002E5FF6" w:rsidP="002E5FF6"/>
    <w:p w:rsidR="00C64204" w:rsidRDefault="00C64204" w:rsidP="002E5FF6"/>
    <w:p w:rsidR="00C64204" w:rsidRDefault="00C64204" w:rsidP="002E5FF6"/>
    <w:p w:rsidR="00C64204" w:rsidRDefault="00C64204" w:rsidP="002E5FF6"/>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2E5FF6" w:rsidTr="002E5FF6">
        <w:tc>
          <w:tcPr>
            <w:tcW w:w="5058" w:type="dxa"/>
          </w:tcPr>
          <w:p w:rsidR="002E5FF6" w:rsidRDefault="002E5FF6" w:rsidP="002E5FF6">
            <w:pPr>
              <w:rPr>
                <w:b/>
                <w:szCs w:val="24"/>
              </w:rPr>
            </w:pPr>
          </w:p>
          <w:p w:rsidR="00C155B7" w:rsidRDefault="00C155B7" w:rsidP="002E5FF6">
            <w:pPr>
              <w:rPr>
                <w:b/>
                <w:szCs w:val="24"/>
              </w:rPr>
            </w:pPr>
          </w:p>
          <w:p w:rsidR="00C155B7" w:rsidRDefault="00C155B7"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2E5FF6">
        <w:tc>
          <w:tcPr>
            <w:tcW w:w="5058" w:type="dxa"/>
          </w:tcPr>
          <w:p w:rsidR="002E5FF6" w:rsidRPr="00601704" w:rsidRDefault="002E5FF6" w:rsidP="002E5FF6">
            <w:pPr>
              <w:rPr>
                <w:b/>
                <w:szCs w:val="24"/>
              </w:rPr>
            </w:pPr>
            <w:r w:rsidRPr="00601704">
              <w:rPr>
                <w:b/>
                <w:szCs w:val="24"/>
              </w:rPr>
              <w:t>Derivatives Contracts</w:t>
            </w:r>
          </w:p>
        </w:tc>
        <w:tc>
          <w:tcPr>
            <w:tcW w:w="1559" w:type="dxa"/>
          </w:tcPr>
          <w:p w:rsidR="002E5FF6" w:rsidRPr="007A07AD" w:rsidRDefault="002E5FF6" w:rsidP="002E5FF6">
            <w:pPr>
              <w:jc w:val="right"/>
              <w:rPr>
                <w:szCs w:val="24"/>
              </w:rPr>
            </w:pP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2E5FF6">
        <w:tc>
          <w:tcPr>
            <w:tcW w:w="5058" w:type="dxa"/>
          </w:tcPr>
          <w:p w:rsidR="002E5FF6" w:rsidRDefault="002E5FF6" w:rsidP="002E5FF6">
            <w:pPr>
              <w:rPr>
                <w:szCs w:val="24"/>
              </w:rPr>
            </w:pPr>
            <w:r>
              <w:rPr>
                <w:szCs w:val="24"/>
              </w:rPr>
              <w:t>Futures Contracts</w:t>
            </w:r>
          </w:p>
        </w:tc>
        <w:tc>
          <w:tcPr>
            <w:tcW w:w="1559" w:type="dxa"/>
            <w:tcBorders>
              <w:bottom w:val="single" w:sz="18" w:space="0" w:color="auto"/>
            </w:tcBorders>
          </w:tcPr>
          <w:p w:rsidR="002E5FF6" w:rsidRPr="007A07AD" w:rsidRDefault="002E5FF6" w:rsidP="002E5FF6">
            <w:pPr>
              <w:jc w:val="right"/>
              <w:rPr>
                <w:szCs w:val="24"/>
              </w:rPr>
            </w:pPr>
            <w:r>
              <w:rPr>
                <w:szCs w:val="24"/>
              </w:rPr>
              <w:t>-</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Pr="007A07AD" w:rsidRDefault="002E5FF6" w:rsidP="002E5FF6">
            <w:pPr>
              <w:jc w:val="right"/>
              <w:rPr>
                <w:szCs w:val="24"/>
              </w:rPr>
            </w:pPr>
            <w:r>
              <w:rPr>
                <w:szCs w:val="24"/>
              </w:rPr>
              <w:t>0.2</w:t>
            </w:r>
          </w:p>
        </w:tc>
      </w:tr>
      <w:tr w:rsidR="002E5FF6" w:rsidRPr="007A07AD" w:rsidTr="002E5FF6">
        <w:tc>
          <w:tcPr>
            <w:tcW w:w="5058" w:type="dxa"/>
          </w:tcPr>
          <w:p w:rsidR="002E5FF6" w:rsidRDefault="002E5FF6" w:rsidP="002E5FF6">
            <w:pPr>
              <w:rPr>
                <w:szCs w:val="24"/>
              </w:rPr>
            </w:pPr>
          </w:p>
        </w:tc>
        <w:tc>
          <w:tcPr>
            <w:tcW w:w="1559" w:type="dxa"/>
            <w:tcBorders>
              <w:top w:val="single" w:sz="18" w:space="0" w:color="auto"/>
              <w:bottom w:val="single" w:sz="18" w:space="0" w:color="auto"/>
            </w:tcBorders>
          </w:tcPr>
          <w:p w:rsidR="002E5FF6" w:rsidRPr="007A07AD" w:rsidRDefault="002E5FF6" w:rsidP="002E5FF6">
            <w:pPr>
              <w:jc w:val="right"/>
              <w:rPr>
                <w:szCs w:val="24"/>
              </w:rPr>
            </w:pPr>
            <w:r>
              <w:rPr>
                <w:szCs w:val="24"/>
              </w:rPr>
              <w:t>-</w:t>
            </w:r>
          </w:p>
        </w:tc>
        <w:tc>
          <w:tcPr>
            <w:tcW w:w="430"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Pr="007A07AD" w:rsidRDefault="002E5FF6" w:rsidP="002E5FF6">
            <w:pPr>
              <w:jc w:val="right"/>
              <w:rPr>
                <w:szCs w:val="24"/>
              </w:rPr>
            </w:pPr>
            <w:r>
              <w:rPr>
                <w:szCs w:val="24"/>
              </w:rPr>
              <w:t>0.2</w:t>
            </w:r>
          </w:p>
        </w:tc>
      </w:tr>
    </w:tbl>
    <w:p w:rsidR="00C64204" w:rsidRDefault="00C64204" w:rsidP="00F332F8">
      <w:pPr>
        <w:spacing w:after="240"/>
        <w:ind w:left="720"/>
        <w:jc w:val="both"/>
        <w:rPr>
          <w:szCs w:val="24"/>
        </w:rPr>
      </w:pPr>
    </w:p>
    <w:p w:rsidR="00C155B7" w:rsidRDefault="00C155B7" w:rsidP="002E5FF6">
      <w:pPr>
        <w:ind w:left="720"/>
        <w:rPr>
          <w:b/>
          <w:szCs w:val="24"/>
        </w:rPr>
      </w:pPr>
    </w:p>
    <w:p w:rsidR="002E5FF6" w:rsidRDefault="002E5FF6" w:rsidP="002E5FF6">
      <w:pPr>
        <w:ind w:left="720"/>
        <w:rPr>
          <w:szCs w:val="24"/>
        </w:rPr>
      </w:pPr>
      <w:r>
        <w:rPr>
          <w:b/>
          <w:szCs w:val="24"/>
        </w:rPr>
        <w:t>D</w:t>
      </w:r>
      <w:r w:rsidRPr="00271BA8">
        <w:rPr>
          <w:b/>
          <w:szCs w:val="24"/>
        </w:rPr>
        <w:t>erivative contracts (forward currency positions</w:t>
      </w:r>
      <w:r w:rsidRPr="00271BA8">
        <w:rPr>
          <w:szCs w:val="24"/>
        </w:rPr>
        <w:t>)</w:t>
      </w:r>
    </w:p>
    <w:p w:rsidR="002E5FF6" w:rsidRDefault="002E5FF6" w:rsidP="002E5FF6">
      <w:pPr>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9"/>
        <w:gridCol w:w="2529"/>
        <w:gridCol w:w="1559"/>
        <w:gridCol w:w="430"/>
        <w:gridCol w:w="1696"/>
      </w:tblGrid>
      <w:tr w:rsidR="002E5FF6" w:rsidTr="00C155B7">
        <w:trPr>
          <w:trHeight w:val="20"/>
        </w:trPr>
        <w:tc>
          <w:tcPr>
            <w:tcW w:w="2529" w:type="dxa"/>
          </w:tcPr>
          <w:p w:rsidR="002E5FF6" w:rsidRDefault="002E5FF6" w:rsidP="002E5FF6">
            <w:pPr>
              <w:rPr>
                <w:b/>
                <w:szCs w:val="24"/>
              </w:rPr>
            </w:pPr>
            <w:r>
              <w:rPr>
                <w:b/>
                <w:szCs w:val="24"/>
              </w:rPr>
              <w:t>Settlement date</w:t>
            </w:r>
          </w:p>
        </w:tc>
        <w:tc>
          <w:tcPr>
            <w:tcW w:w="2529" w:type="dxa"/>
          </w:tcPr>
          <w:p w:rsidR="002E5FF6" w:rsidRDefault="002E5FF6" w:rsidP="002E5FF6">
            <w:pPr>
              <w:jc w:val="right"/>
              <w:rPr>
                <w:b/>
                <w:szCs w:val="24"/>
              </w:rPr>
            </w:pPr>
            <w:r>
              <w:rPr>
                <w:b/>
                <w:szCs w:val="24"/>
              </w:rPr>
              <w:t>Bought</w:t>
            </w:r>
          </w:p>
          <w:p w:rsidR="002E5FF6" w:rsidRDefault="002E5FF6" w:rsidP="002E5FF6">
            <w:pPr>
              <w:jc w:val="right"/>
              <w:rPr>
                <w:b/>
                <w:szCs w:val="24"/>
              </w:rPr>
            </w:pPr>
            <w:r>
              <w:rPr>
                <w:b/>
                <w:szCs w:val="24"/>
              </w:rPr>
              <w:t>£m EQV</w:t>
            </w:r>
          </w:p>
        </w:tc>
        <w:tc>
          <w:tcPr>
            <w:tcW w:w="1559" w:type="dxa"/>
          </w:tcPr>
          <w:p w:rsidR="002E5FF6" w:rsidRDefault="002E5FF6" w:rsidP="002E5FF6">
            <w:pPr>
              <w:jc w:val="right"/>
              <w:rPr>
                <w:b/>
                <w:szCs w:val="24"/>
              </w:rPr>
            </w:pPr>
            <w:r>
              <w:rPr>
                <w:b/>
                <w:szCs w:val="24"/>
              </w:rPr>
              <w:t>Sold</w:t>
            </w:r>
          </w:p>
          <w:p w:rsidR="002E5FF6" w:rsidRDefault="002E5FF6" w:rsidP="002E5FF6">
            <w:pPr>
              <w:jc w:val="right"/>
              <w:rPr>
                <w:b/>
                <w:szCs w:val="24"/>
              </w:rPr>
            </w:pPr>
            <w:r>
              <w:rPr>
                <w:b/>
                <w:szCs w:val="24"/>
              </w:rPr>
              <w:t>£m EQV</w:t>
            </w:r>
          </w:p>
        </w:tc>
        <w:tc>
          <w:tcPr>
            <w:tcW w:w="430"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AA58CA" w:rsidTr="00C155B7">
        <w:trPr>
          <w:trHeight w:val="20"/>
        </w:trPr>
        <w:tc>
          <w:tcPr>
            <w:tcW w:w="2529" w:type="dxa"/>
          </w:tcPr>
          <w:p w:rsidR="002E5FF6" w:rsidRPr="00AA58CA" w:rsidRDefault="002E5FF6" w:rsidP="002E5FF6">
            <w:pPr>
              <w:rPr>
                <w:b/>
                <w:szCs w:val="24"/>
              </w:rPr>
            </w:pPr>
            <w:r>
              <w:rPr>
                <w:b/>
                <w:szCs w:val="24"/>
              </w:rPr>
              <w:t>Investment</w:t>
            </w:r>
            <w:r w:rsidRPr="00AA58CA">
              <w:rPr>
                <w:b/>
                <w:szCs w:val="24"/>
              </w:rPr>
              <w:t xml:space="preserve"> assets</w:t>
            </w:r>
          </w:p>
        </w:tc>
        <w:tc>
          <w:tcPr>
            <w:tcW w:w="2529" w:type="dxa"/>
          </w:tcPr>
          <w:p w:rsidR="002E5FF6" w:rsidRPr="00AA58CA" w:rsidRDefault="002E5FF6" w:rsidP="002E5FF6">
            <w:pPr>
              <w:jc w:val="right"/>
              <w:rPr>
                <w:szCs w:val="24"/>
              </w:rPr>
            </w:pPr>
          </w:p>
        </w:tc>
        <w:tc>
          <w:tcPr>
            <w:tcW w:w="1559" w:type="dxa"/>
          </w:tcPr>
          <w:p w:rsidR="002E5FF6" w:rsidRPr="00AA58CA" w:rsidRDefault="002E5FF6" w:rsidP="002E5FF6">
            <w:pPr>
              <w:jc w:val="right"/>
              <w:rPr>
                <w:szCs w:val="24"/>
              </w:rPr>
            </w:pPr>
          </w:p>
        </w:tc>
        <w:tc>
          <w:tcPr>
            <w:tcW w:w="430" w:type="dxa"/>
            <w:tcBorders>
              <w:right w:val="single" w:sz="4" w:space="0" w:color="FFFFFF" w:themeColor="background1"/>
            </w:tcBorders>
          </w:tcPr>
          <w:p w:rsidR="002E5FF6" w:rsidRPr="00AA58CA" w:rsidRDefault="002E5FF6" w:rsidP="002E5FF6">
            <w:pPr>
              <w:jc w:val="right"/>
              <w:rPr>
                <w:szCs w:val="24"/>
              </w:rPr>
            </w:pPr>
          </w:p>
        </w:tc>
        <w:tc>
          <w:tcPr>
            <w:tcW w:w="1696" w:type="dxa"/>
            <w:tcBorders>
              <w:left w:val="single" w:sz="4" w:space="0" w:color="FFFFFF" w:themeColor="background1"/>
            </w:tcBorders>
          </w:tcPr>
          <w:p w:rsidR="002E5FF6" w:rsidRPr="00AA58CA" w:rsidRDefault="002E5FF6" w:rsidP="002E5FF6">
            <w:pPr>
              <w:jc w:val="right"/>
              <w:rPr>
                <w:szCs w:val="24"/>
              </w:rPr>
            </w:pPr>
          </w:p>
        </w:tc>
      </w:tr>
      <w:tr w:rsidR="002E5FF6" w:rsidRPr="00AA58CA" w:rsidTr="00C155B7">
        <w:trPr>
          <w:trHeight w:val="20"/>
        </w:trPr>
        <w:tc>
          <w:tcPr>
            <w:tcW w:w="2529" w:type="dxa"/>
          </w:tcPr>
          <w:p w:rsidR="002E5FF6" w:rsidRDefault="002E5FF6" w:rsidP="002E5FF6">
            <w:pPr>
              <w:spacing w:after="120"/>
              <w:rPr>
                <w:szCs w:val="24"/>
              </w:rPr>
            </w:pPr>
            <w:r>
              <w:rPr>
                <w:szCs w:val="24"/>
              </w:rPr>
              <w:t>6 months and under</w:t>
            </w:r>
          </w:p>
        </w:tc>
        <w:tc>
          <w:tcPr>
            <w:tcW w:w="2529" w:type="dxa"/>
          </w:tcPr>
          <w:p w:rsidR="002E5FF6" w:rsidRDefault="002E5FF6" w:rsidP="002E5FF6">
            <w:pPr>
              <w:spacing w:after="120"/>
              <w:jc w:val="right"/>
              <w:rPr>
                <w:szCs w:val="24"/>
              </w:rPr>
            </w:pPr>
            <w:r>
              <w:rPr>
                <w:szCs w:val="24"/>
              </w:rPr>
              <w:t>51.8</w:t>
            </w:r>
          </w:p>
        </w:tc>
        <w:tc>
          <w:tcPr>
            <w:tcW w:w="1559" w:type="dxa"/>
          </w:tcPr>
          <w:p w:rsidR="002E5FF6" w:rsidRDefault="002E5FF6" w:rsidP="002E5FF6">
            <w:pPr>
              <w:spacing w:after="120"/>
              <w:jc w:val="right"/>
              <w:rPr>
                <w:szCs w:val="24"/>
              </w:rPr>
            </w:pPr>
            <w:r>
              <w:rPr>
                <w:szCs w:val="24"/>
              </w:rPr>
              <w:t>46.9</w:t>
            </w:r>
          </w:p>
        </w:tc>
        <w:tc>
          <w:tcPr>
            <w:tcW w:w="430" w:type="dxa"/>
            <w:tcBorders>
              <w:right w:val="single" w:sz="4" w:space="0" w:color="FFFFFF" w:themeColor="background1"/>
            </w:tcBorders>
          </w:tcPr>
          <w:p w:rsidR="002E5FF6" w:rsidRPr="00AA58CA" w:rsidRDefault="002E5FF6" w:rsidP="002E5FF6">
            <w:pPr>
              <w:jc w:val="right"/>
              <w:rPr>
                <w:szCs w:val="24"/>
              </w:rPr>
            </w:pPr>
          </w:p>
        </w:tc>
        <w:tc>
          <w:tcPr>
            <w:tcW w:w="1696" w:type="dxa"/>
            <w:tcBorders>
              <w:left w:val="single" w:sz="4" w:space="0" w:color="FFFFFF" w:themeColor="background1"/>
            </w:tcBorders>
          </w:tcPr>
          <w:p w:rsidR="002E5FF6" w:rsidRDefault="002E5FF6" w:rsidP="002E5FF6">
            <w:pPr>
              <w:jc w:val="right"/>
              <w:rPr>
                <w:szCs w:val="24"/>
              </w:rPr>
            </w:pPr>
            <w:r>
              <w:rPr>
                <w:szCs w:val="24"/>
              </w:rPr>
              <w:t>4.9</w:t>
            </w:r>
          </w:p>
        </w:tc>
      </w:tr>
      <w:tr w:rsidR="002E5FF6" w:rsidRPr="00AA58CA" w:rsidTr="002E5F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2E5FF6" w:rsidRPr="00AA58CA" w:rsidRDefault="002E5FF6" w:rsidP="002E5FF6">
            <w:pPr>
              <w:rPr>
                <w:b/>
                <w:szCs w:val="24"/>
              </w:rPr>
            </w:pPr>
            <w:r>
              <w:rPr>
                <w:b/>
                <w:szCs w:val="24"/>
              </w:rPr>
              <w:t>Investment</w:t>
            </w:r>
            <w:r w:rsidRPr="00AA58CA">
              <w:rPr>
                <w:b/>
                <w:szCs w:val="24"/>
              </w:rPr>
              <w:t xml:space="preserve"> </w:t>
            </w:r>
            <w:r>
              <w:rPr>
                <w:b/>
                <w:szCs w:val="24"/>
              </w:rPr>
              <w:t>liabilities</w:t>
            </w:r>
          </w:p>
        </w:tc>
        <w:tc>
          <w:tcPr>
            <w:tcW w:w="2529" w:type="dxa"/>
            <w:tcBorders>
              <w:top w:val="nil"/>
              <w:left w:val="nil"/>
              <w:bottom w:val="nil"/>
              <w:right w:val="nil"/>
            </w:tcBorders>
          </w:tcPr>
          <w:p w:rsidR="002E5FF6" w:rsidRPr="00AA58CA" w:rsidRDefault="002E5FF6" w:rsidP="002E5FF6">
            <w:pPr>
              <w:jc w:val="right"/>
              <w:rPr>
                <w:szCs w:val="24"/>
              </w:rPr>
            </w:pPr>
          </w:p>
        </w:tc>
        <w:tc>
          <w:tcPr>
            <w:tcW w:w="1559" w:type="dxa"/>
            <w:tcBorders>
              <w:top w:val="nil"/>
              <w:left w:val="nil"/>
              <w:bottom w:val="nil"/>
              <w:right w:val="nil"/>
            </w:tcBorders>
          </w:tcPr>
          <w:p w:rsidR="002E5FF6" w:rsidRPr="00AA58CA" w:rsidRDefault="002E5FF6" w:rsidP="002E5FF6">
            <w:pPr>
              <w:jc w:val="right"/>
              <w:rPr>
                <w:szCs w:val="24"/>
              </w:rPr>
            </w:pPr>
          </w:p>
        </w:tc>
        <w:tc>
          <w:tcPr>
            <w:tcW w:w="430" w:type="dxa"/>
            <w:tcBorders>
              <w:top w:val="nil"/>
              <w:left w:val="nil"/>
              <w:bottom w:val="nil"/>
              <w:right w:val="nil"/>
            </w:tcBorders>
          </w:tcPr>
          <w:p w:rsidR="002E5FF6" w:rsidRPr="00AA58CA" w:rsidRDefault="002E5FF6" w:rsidP="002E5FF6">
            <w:pPr>
              <w:jc w:val="right"/>
              <w:rPr>
                <w:szCs w:val="24"/>
              </w:rPr>
            </w:pPr>
          </w:p>
        </w:tc>
        <w:tc>
          <w:tcPr>
            <w:tcW w:w="1696" w:type="dxa"/>
            <w:tcBorders>
              <w:top w:val="single" w:sz="18" w:space="0" w:color="auto"/>
              <w:left w:val="nil"/>
              <w:bottom w:val="nil"/>
              <w:right w:val="nil"/>
            </w:tcBorders>
          </w:tcPr>
          <w:p w:rsidR="002E5FF6" w:rsidRPr="00AA58CA" w:rsidRDefault="002E5FF6" w:rsidP="002E5FF6">
            <w:pPr>
              <w:jc w:val="right"/>
              <w:rPr>
                <w:szCs w:val="24"/>
              </w:rPr>
            </w:pPr>
          </w:p>
        </w:tc>
      </w:tr>
      <w:tr w:rsidR="002E5FF6" w:rsidRPr="00AA58CA" w:rsidTr="00C15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2529" w:type="dxa"/>
            <w:tcBorders>
              <w:top w:val="nil"/>
              <w:left w:val="nil"/>
              <w:bottom w:val="nil"/>
              <w:right w:val="nil"/>
            </w:tcBorders>
          </w:tcPr>
          <w:p w:rsidR="002E5FF6" w:rsidRDefault="002E5FF6" w:rsidP="002E5FF6">
            <w:pPr>
              <w:rPr>
                <w:szCs w:val="24"/>
              </w:rPr>
            </w:pPr>
            <w:r>
              <w:rPr>
                <w:szCs w:val="24"/>
              </w:rPr>
              <w:t>6 months and under</w:t>
            </w:r>
          </w:p>
        </w:tc>
        <w:tc>
          <w:tcPr>
            <w:tcW w:w="2529" w:type="dxa"/>
            <w:tcBorders>
              <w:top w:val="nil"/>
              <w:left w:val="nil"/>
              <w:bottom w:val="nil"/>
              <w:right w:val="nil"/>
            </w:tcBorders>
          </w:tcPr>
          <w:p w:rsidR="002E5FF6" w:rsidRPr="00AA58CA" w:rsidRDefault="002E5FF6" w:rsidP="002E5FF6">
            <w:pPr>
              <w:jc w:val="right"/>
              <w:rPr>
                <w:szCs w:val="24"/>
              </w:rPr>
            </w:pPr>
            <w:r>
              <w:rPr>
                <w:szCs w:val="24"/>
              </w:rPr>
              <w:t>65.5</w:t>
            </w:r>
          </w:p>
        </w:tc>
        <w:tc>
          <w:tcPr>
            <w:tcW w:w="1559" w:type="dxa"/>
            <w:tcBorders>
              <w:top w:val="nil"/>
              <w:left w:val="nil"/>
              <w:bottom w:val="nil"/>
              <w:right w:val="nil"/>
            </w:tcBorders>
          </w:tcPr>
          <w:p w:rsidR="002E5FF6" w:rsidRPr="00AA58CA" w:rsidRDefault="002E5FF6" w:rsidP="002E5FF6">
            <w:pPr>
              <w:jc w:val="right"/>
              <w:rPr>
                <w:szCs w:val="24"/>
              </w:rPr>
            </w:pPr>
            <w:r>
              <w:rPr>
                <w:szCs w:val="24"/>
              </w:rPr>
              <w:t>67.4</w:t>
            </w:r>
          </w:p>
        </w:tc>
        <w:tc>
          <w:tcPr>
            <w:tcW w:w="430" w:type="dxa"/>
            <w:tcBorders>
              <w:top w:val="nil"/>
              <w:left w:val="nil"/>
              <w:bottom w:val="nil"/>
              <w:right w:val="nil"/>
            </w:tcBorders>
          </w:tcPr>
          <w:p w:rsidR="002E5FF6" w:rsidRPr="00AA58CA" w:rsidRDefault="002E5FF6" w:rsidP="002E5FF6">
            <w:pPr>
              <w:jc w:val="right"/>
              <w:rPr>
                <w:szCs w:val="24"/>
              </w:rPr>
            </w:pPr>
          </w:p>
        </w:tc>
        <w:tc>
          <w:tcPr>
            <w:tcW w:w="1696" w:type="dxa"/>
            <w:tcBorders>
              <w:top w:val="nil"/>
              <w:left w:val="nil"/>
              <w:bottom w:val="nil"/>
              <w:right w:val="nil"/>
            </w:tcBorders>
          </w:tcPr>
          <w:p w:rsidR="002E5FF6" w:rsidRPr="00AA58CA" w:rsidRDefault="002E5FF6" w:rsidP="002E5FF6">
            <w:pPr>
              <w:jc w:val="right"/>
              <w:rPr>
                <w:szCs w:val="24"/>
              </w:rPr>
            </w:pPr>
            <w:r>
              <w:rPr>
                <w:szCs w:val="24"/>
              </w:rPr>
              <w:t>(1.9)</w:t>
            </w:r>
          </w:p>
        </w:tc>
      </w:tr>
      <w:tr w:rsidR="002E5FF6" w:rsidRPr="00AA58CA" w:rsidTr="00C15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2529" w:type="dxa"/>
            <w:tcBorders>
              <w:top w:val="nil"/>
              <w:left w:val="nil"/>
              <w:bottom w:val="nil"/>
              <w:right w:val="nil"/>
            </w:tcBorders>
          </w:tcPr>
          <w:p w:rsidR="002E5FF6" w:rsidRDefault="002E5FF6" w:rsidP="002E5FF6">
            <w:pPr>
              <w:rPr>
                <w:szCs w:val="24"/>
              </w:rPr>
            </w:pPr>
            <w:r>
              <w:rPr>
                <w:szCs w:val="24"/>
              </w:rPr>
              <w:t>Over 6 months</w:t>
            </w:r>
          </w:p>
        </w:tc>
        <w:tc>
          <w:tcPr>
            <w:tcW w:w="2529" w:type="dxa"/>
            <w:tcBorders>
              <w:top w:val="nil"/>
              <w:left w:val="nil"/>
              <w:bottom w:val="nil"/>
              <w:right w:val="nil"/>
            </w:tcBorders>
          </w:tcPr>
          <w:p w:rsidR="002E5FF6" w:rsidRDefault="002E5FF6" w:rsidP="002E5FF6">
            <w:pPr>
              <w:jc w:val="right"/>
              <w:rPr>
                <w:szCs w:val="24"/>
              </w:rPr>
            </w:pPr>
            <w:r>
              <w:rPr>
                <w:szCs w:val="24"/>
              </w:rPr>
              <w:t>4.0</w:t>
            </w:r>
          </w:p>
        </w:tc>
        <w:tc>
          <w:tcPr>
            <w:tcW w:w="1559" w:type="dxa"/>
            <w:tcBorders>
              <w:top w:val="nil"/>
              <w:left w:val="nil"/>
              <w:bottom w:val="nil"/>
              <w:right w:val="nil"/>
            </w:tcBorders>
          </w:tcPr>
          <w:p w:rsidR="002E5FF6" w:rsidRDefault="002E5FF6" w:rsidP="002E5FF6">
            <w:pPr>
              <w:jc w:val="right"/>
              <w:rPr>
                <w:szCs w:val="24"/>
              </w:rPr>
            </w:pPr>
            <w:r>
              <w:rPr>
                <w:szCs w:val="24"/>
              </w:rPr>
              <w:t>4.0</w:t>
            </w:r>
          </w:p>
        </w:tc>
        <w:tc>
          <w:tcPr>
            <w:tcW w:w="430" w:type="dxa"/>
            <w:tcBorders>
              <w:top w:val="nil"/>
              <w:left w:val="nil"/>
              <w:bottom w:val="nil"/>
              <w:right w:val="nil"/>
            </w:tcBorders>
          </w:tcPr>
          <w:p w:rsidR="002E5FF6" w:rsidRPr="00AA58CA" w:rsidRDefault="002E5FF6" w:rsidP="002E5FF6">
            <w:pPr>
              <w:jc w:val="right"/>
              <w:rPr>
                <w:szCs w:val="24"/>
              </w:rPr>
            </w:pPr>
          </w:p>
        </w:tc>
        <w:tc>
          <w:tcPr>
            <w:tcW w:w="1696" w:type="dxa"/>
            <w:tcBorders>
              <w:top w:val="nil"/>
              <w:left w:val="nil"/>
              <w:bottom w:val="single" w:sz="18" w:space="0" w:color="auto"/>
              <w:right w:val="nil"/>
            </w:tcBorders>
          </w:tcPr>
          <w:p w:rsidR="002E5FF6" w:rsidRDefault="002E5FF6" w:rsidP="002E5FF6">
            <w:pPr>
              <w:jc w:val="right"/>
              <w:rPr>
                <w:szCs w:val="24"/>
              </w:rPr>
            </w:pPr>
            <w:r>
              <w:rPr>
                <w:szCs w:val="24"/>
              </w:rPr>
              <w:t>0.0</w:t>
            </w:r>
          </w:p>
        </w:tc>
      </w:tr>
    </w:tbl>
    <w:p w:rsidR="002E5FF6" w:rsidRPr="00166665" w:rsidRDefault="002E5FF6" w:rsidP="002E5FF6">
      <w:pPr>
        <w:ind w:left="720"/>
        <w:rPr>
          <w:szCs w:val="24"/>
        </w:rPr>
      </w:pPr>
    </w:p>
    <w:p w:rsidR="002E5FF6" w:rsidRDefault="002E5FF6" w:rsidP="002E5FF6">
      <w:pPr>
        <w:spacing w:after="240"/>
        <w:ind w:left="720"/>
        <w:rPr>
          <w:szCs w:val="24"/>
        </w:rPr>
      </w:pPr>
      <w:r>
        <w:rPr>
          <w:szCs w:val="24"/>
        </w:rPr>
        <w:t>F</w:t>
      </w:r>
      <w:r w:rsidRPr="00166665">
        <w:rPr>
          <w:szCs w:val="24"/>
        </w:rPr>
        <w:t>orward Foreign currency contracts are used to hedge against foreign currency movements.</w:t>
      </w:r>
    </w:p>
    <w:p w:rsidR="004B380D" w:rsidRDefault="004B380D" w:rsidP="002E5FF6">
      <w:pPr>
        <w:spacing w:after="240"/>
        <w:ind w:left="720"/>
        <w:rPr>
          <w:szCs w:val="24"/>
        </w:rPr>
      </w:pPr>
    </w:p>
    <w:p w:rsidR="004B380D" w:rsidRDefault="004B380D" w:rsidP="002E5FF6">
      <w:pPr>
        <w:spacing w:after="240"/>
        <w:ind w:left="720"/>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1559"/>
        <w:gridCol w:w="851"/>
        <w:gridCol w:w="1696"/>
      </w:tblGrid>
      <w:tr w:rsidR="002E5FF6" w:rsidTr="00C155B7">
        <w:tc>
          <w:tcPr>
            <w:tcW w:w="4633" w:type="dxa"/>
          </w:tcPr>
          <w:p w:rsidR="00897DBF" w:rsidRDefault="00897DBF">
            <w:pPr>
              <w:ind w:right="1167"/>
              <w:rPr>
                <w:b/>
                <w:szCs w:val="24"/>
              </w:rPr>
            </w:pPr>
          </w:p>
          <w:p w:rsidR="00897DBF" w:rsidRDefault="00897DBF">
            <w:pPr>
              <w:ind w:right="1167"/>
              <w:rPr>
                <w:b/>
                <w:szCs w:val="24"/>
              </w:rPr>
            </w:pPr>
          </w:p>
          <w:p w:rsidR="00C155B7" w:rsidRDefault="00C155B7" w:rsidP="002E5FF6">
            <w:pPr>
              <w:rPr>
                <w:b/>
                <w:szCs w:val="24"/>
              </w:rPr>
            </w:pPr>
          </w:p>
        </w:tc>
        <w:tc>
          <w:tcPr>
            <w:tcW w:w="1559" w:type="dxa"/>
          </w:tcPr>
          <w:p w:rsidR="002E5FF6" w:rsidRDefault="002E5FF6" w:rsidP="002E5FF6">
            <w:pPr>
              <w:jc w:val="right"/>
              <w:rPr>
                <w:b/>
                <w:szCs w:val="24"/>
              </w:rPr>
            </w:pPr>
            <w:r>
              <w:rPr>
                <w:b/>
                <w:szCs w:val="24"/>
              </w:rPr>
              <w:t>2012/13</w:t>
            </w:r>
          </w:p>
          <w:p w:rsidR="002E5FF6" w:rsidRDefault="002E5FF6" w:rsidP="002E5FF6">
            <w:pPr>
              <w:jc w:val="right"/>
              <w:rPr>
                <w:b/>
                <w:szCs w:val="24"/>
              </w:rPr>
            </w:pPr>
            <w:r>
              <w:rPr>
                <w:b/>
                <w:szCs w:val="24"/>
              </w:rPr>
              <w:t>£m</w:t>
            </w:r>
          </w:p>
        </w:tc>
        <w:tc>
          <w:tcPr>
            <w:tcW w:w="851" w:type="dxa"/>
            <w:tcBorders>
              <w:right w:val="single" w:sz="4" w:space="0" w:color="FFFFFF" w:themeColor="background1"/>
            </w:tcBorders>
          </w:tcPr>
          <w:p w:rsidR="002E5FF6" w:rsidRDefault="002E5FF6" w:rsidP="002E5FF6">
            <w:pPr>
              <w:jc w:val="right"/>
              <w:rPr>
                <w:b/>
                <w:szCs w:val="24"/>
              </w:rPr>
            </w:pPr>
          </w:p>
          <w:p w:rsidR="002E5FF6" w:rsidRDefault="002E5FF6" w:rsidP="002E5FF6">
            <w:pPr>
              <w:jc w:val="right"/>
              <w:rPr>
                <w:b/>
                <w:szCs w:val="24"/>
              </w:rPr>
            </w:pPr>
          </w:p>
        </w:tc>
        <w:tc>
          <w:tcPr>
            <w:tcW w:w="1696" w:type="dxa"/>
            <w:tcBorders>
              <w:left w:val="single" w:sz="4" w:space="0" w:color="FFFFFF" w:themeColor="background1"/>
            </w:tcBorders>
          </w:tcPr>
          <w:p w:rsidR="002E5FF6" w:rsidRDefault="002E5FF6" w:rsidP="002E5FF6">
            <w:pPr>
              <w:jc w:val="right"/>
              <w:rPr>
                <w:b/>
                <w:szCs w:val="24"/>
              </w:rPr>
            </w:pPr>
            <w:r>
              <w:rPr>
                <w:b/>
                <w:szCs w:val="24"/>
              </w:rPr>
              <w:t>2011/12</w:t>
            </w:r>
          </w:p>
          <w:p w:rsidR="002E5FF6" w:rsidRDefault="002E5FF6" w:rsidP="002E5FF6">
            <w:pPr>
              <w:jc w:val="right"/>
              <w:rPr>
                <w:b/>
                <w:szCs w:val="24"/>
              </w:rPr>
            </w:pPr>
            <w:r>
              <w:rPr>
                <w:b/>
                <w:szCs w:val="24"/>
              </w:rPr>
              <w:t>£m</w:t>
            </w:r>
          </w:p>
          <w:p w:rsidR="002E5FF6" w:rsidRDefault="002E5FF6" w:rsidP="002E5FF6">
            <w:pPr>
              <w:jc w:val="right"/>
              <w:rPr>
                <w:b/>
                <w:szCs w:val="24"/>
              </w:rPr>
            </w:pPr>
          </w:p>
        </w:tc>
      </w:tr>
      <w:tr w:rsidR="002E5FF6" w:rsidRPr="007A07AD" w:rsidTr="00C155B7">
        <w:tc>
          <w:tcPr>
            <w:tcW w:w="4633" w:type="dxa"/>
          </w:tcPr>
          <w:p w:rsidR="002E5FF6" w:rsidRPr="00AA58CA" w:rsidRDefault="002E5FF6" w:rsidP="002E5FF6">
            <w:pPr>
              <w:rPr>
                <w:b/>
                <w:szCs w:val="24"/>
              </w:rPr>
            </w:pPr>
            <w:r w:rsidRPr="00AA58CA">
              <w:rPr>
                <w:b/>
                <w:szCs w:val="24"/>
              </w:rPr>
              <w:t>Cash Deposits</w:t>
            </w:r>
          </w:p>
        </w:tc>
        <w:tc>
          <w:tcPr>
            <w:tcW w:w="1559" w:type="dxa"/>
          </w:tcPr>
          <w:p w:rsidR="002E5FF6" w:rsidRPr="007A07AD" w:rsidRDefault="002E5FF6" w:rsidP="002E5FF6">
            <w:pPr>
              <w:jc w:val="right"/>
              <w:rPr>
                <w:szCs w:val="24"/>
              </w:rPr>
            </w:pPr>
          </w:p>
        </w:tc>
        <w:tc>
          <w:tcPr>
            <w:tcW w:w="851"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p>
        </w:tc>
      </w:tr>
      <w:tr w:rsidR="002E5FF6" w:rsidRPr="007A07AD" w:rsidTr="00C155B7">
        <w:tc>
          <w:tcPr>
            <w:tcW w:w="4633" w:type="dxa"/>
          </w:tcPr>
          <w:p w:rsidR="002E5FF6" w:rsidRDefault="002E5FF6" w:rsidP="002E5FF6">
            <w:pPr>
              <w:rPr>
                <w:szCs w:val="24"/>
              </w:rPr>
            </w:pPr>
            <w:r>
              <w:rPr>
                <w:szCs w:val="24"/>
              </w:rPr>
              <w:t>Sterling</w:t>
            </w:r>
          </w:p>
        </w:tc>
        <w:tc>
          <w:tcPr>
            <w:tcW w:w="1559" w:type="dxa"/>
          </w:tcPr>
          <w:p w:rsidR="002E5FF6" w:rsidRPr="007A07AD" w:rsidRDefault="002E5FF6" w:rsidP="002E5FF6">
            <w:pPr>
              <w:jc w:val="right"/>
              <w:rPr>
                <w:szCs w:val="24"/>
              </w:rPr>
            </w:pPr>
            <w:r>
              <w:rPr>
                <w:szCs w:val="24"/>
              </w:rPr>
              <w:t>116.6</w:t>
            </w:r>
          </w:p>
        </w:tc>
        <w:tc>
          <w:tcPr>
            <w:tcW w:w="851"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tcBorders>
          </w:tcPr>
          <w:p w:rsidR="002E5FF6" w:rsidRPr="007A07AD" w:rsidRDefault="002E5FF6" w:rsidP="002E5FF6">
            <w:pPr>
              <w:jc w:val="right"/>
              <w:rPr>
                <w:szCs w:val="24"/>
              </w:rPr>
            </w:pPr>
            <w:r>
              <w:rPr>
                <w:szCs w:val="24"/>
              </w:rPr>
              <w:t>110.9</w:t>
            </w:r>
          </w:p>
        </w:tc>
      </w:tr>
      <w:tr w:rsidR="002E5FF6" w:rsidRPr="007A07AD" w:rsidTr="00C155B7">
        <w:tc>
          <w:tcPr>
            <w:tcW w:w="4633" w:type="dxa"/>
          </w:tcPr>
          <w:p w:rsidR="002E5FF6" w:rsidRDefault="002E5FF6" w:rsidP="002E5FF6">
            <w:pPr>
              <w:rPr>
                <w:szCs w:val="24"/>
              </w:rPr>
            </w:pPr>
            <w:r>
              <w:rPr>
                <w:szCs w:val="24"/>
              </w:rPr>
              <w:t>Foreign currency</w:t>
            </w:r>
          </w:p>
        </w:tc>
        <w:tc>
          <w:tcPr>
            <w:tcW w:w="1559" w:type="dxa"/>
            <w:tcBorders>
              <w:bottom w:val="single" w:sz="18" w:space="0" w:color="auto"/>
            </w:tcBorders>
          </w:tcPr>
          <w:p w:rsidR="002E5FF6" w:rsidRPr="007A07AD" w:rsidRDefault="002E5FF6" w:rsidP="002E5FF6">
            <w:pPr>
              <w:jc w:val="right"/>
              <w:rPr>
                <w:szCs w:val="24"/>
              </w:rPr>
            </w:pPr>
            <w:r>
              <w:rPr>
                <w:szCs w:val="24"/>
              </w:rPr>
              <w:t>53.9</w:t>
            </w:r>
          </w:p>
        </w:tc>
        <w:tc>
          <w:tcPr>
            <w:tcW w:w="851" w:type="dxa"/>
            <w:tcBorders>
              <w:right w:val="single" w:sz="4" w:space="0" w:color="FFFFFF" w:themeColor="background1"/>
            </w:tcBorders>
          </w:tcPr>
          <w:p w:rsidR="002E5FF6" w:rsidRPr="007A07AD" w:rsidRDefault="002E5FF6" w:rsidP="002E5FF6">
            <w:pPr>
              <w:jc w:val="right"/>
              <w:rPr>
                <w:szCs w:val="24"/>
              </w:rPr>
            </w:pPr>
          </w:p>
        </w:tc>
        <w:tc>
          <w:tcPr>
            <w:tcW w:w="1696" w:type="dxa"/>
            <w:tcBorders>
              <w:left w:val="single" w:sz="4" w:space="0" w:color="FFFFFF" w:themeColor="background1"/>
              <w:bottom w:val="single" w:sz="18" w:space="0" w:color="auto"/>
            </w:tcBorders>
          </w:tcPr>
          <w:p w:rsidR="002E5FF6" w:rsidRDefault="002E5FF6" w:rsidP="002E5FF6">
            <w:pPr>
              <w:jc w:val="right"/>
              <w:rPr>
                <w:szCs w:val="24"/>
              </w:rPr>
            </w:pPr>
            <w:r>
              <w:rPr>
                <w:szCs w:val="24"/>
              </w:rPr>
              <w:t>15.9</w:t>
            </w:r>
          </w:p>
        </w:tc>
      </w:tr>
      <w:tr w:rsidR="002E5FF6" w:rsidRPr="007A07AD" w:rsidTr="00C155B7">
        <w:tc>
          <w:tcPr>
            <w:tcW w:w="4633" w:type="dxa"/>
          </w:tcPr>
          <w:p w:rsidR="002E5FF6" w:rsidRDefault="002E5FF6" w:rsidP="002E5FF6">
            <w:pPr>
              <w:rPr>
                <w:szCs w:val="24"/>
              </w:rPr>
            </w:pPr>
          </w:p>
        </w:tc>
        <w:tc>
          <w:tcPr>
            <w:tcW w:w="1559" w:type="dxa"/>
            <w:tcBorders>
              <w:top w:val="single" w:sz="18" w:space="0" w:color="auto"/>
              <w:bottom w:val="single" w:sz="18" w:space="0" w:color="auto"/>
            </w:tcBorders>
          </w:tcPr>
          <w:p w:rsidR="002E5FF6" w:rsidRPr="007A07AD" w:rsidRDefault="002E5FF6" w:rsidP="002E5FF6">
            <w:pPr>
              <w:jc w:val="right"/>
              <w:rPr>
                <w:szCs w:val="24"/>
              </w:rPr>
            </w:pPr>
            <w:r>
              <w:rPr>
                <w:szCs w:val="24"/>
              </w:rPr>
              <w:t>170.5</w:t>
            </w:r>
          </w:p>
        </w:tc>
        <w:tc>
          <w:tcPr>
            <w:tcW w:w="851" w:type="dxa"/>
            <w:tcBorders>
              <w:right w:val="single" w:sz="4" w:space="0" w:color="FFFFFF" w:themeColor="background1"/>
            </w:tcBorders>
          </w:tcPr>
          <w:p w:rsidR="002E5FF6" w:rsidRPr="007A07AD" w:rsidRDefault="002E5FF6" w:rsidP="002E5FF6">
            <w:pPr>
              <w:jc w:val="right"/>
              <w:rPr>
                <w:szCs w:val="24"/>
              </w:rPr>
            </w:pPr>
          </w:p>
        </w:tc>
        <w:tc>
          <w:tcPr>
            <w:tcW w:w="1696" w:type="dxa"/>
            <w:tcBorders>
              <w:top w:val="single" w:sz="18" w:space="0" w:color="auto"/>
              <w:left w:val="single" w:sz="4" w:space="0" w:color="FFFFFF" w:themeColor="background1"/>
              <w:bottom w:val="single" w:sz="18" w:space="0" w:color="auto"/>
            </w:tcBorders>
          </w:tcPr>
          <w:p w:rsidR="002E5FF6" w:rsidRDefault="002E5FF6" w:rsidP="002E5FF6">
            <w:pPr>
              <w:jc w:val="right"/>
              <w:rPr>
                <w:szCs w:val="24"/>
              </w:rPr>
            </w:pPr>
            <w:r>
              <w:rPr>
                <w:szCs w:val="24"/>
              </w:rPr>
              <w:t>126.8</w:t>
            </w:r>
          </w:p>
        </w:tc>
      </w:tr>
    </w:tbl>
    <w:p w:rsidR="002E5FF6" w:rsidRDefault="002E5FF6" w:rsidP="002E5FF6">
      <w:pPr>
        <w:pStyle w:val="ListParagraph"/>
        <w:spacing w:after="120"/>
        <w:jc w:val="both"/>
        <w:rPr>
          <w:b/>
        </w:rPr>
      </w:pPr>
    </w:p>
    <w:p w:rsidR="00F6773F" w:rsidRDefault="00F6773F" w:rsidP="002E5FF6">
      <w:pPr>
        <w:pStyle w:val="ListParagraph"/>
        <w:spacing w:after="120"/>
        <w:jc w:val="both"/>
        <w:rPr>
          <w:b/>
        </w:rPr>
      </w:pPr>
    </w:p>
    <w:p w:rsidR="00F6773F" w:rsidRDefault="00F6773F" w:rsidP="002E5FF6">
      <w:pPr>
        <w:pStyle w:val="ListParagraph"/>
        <w:spacing w:after="120"/>
        <w:jc w:val="both"/>
        <w:rPr>
          <w:b/>
        </w:rPr>
      </w:pPr>
    </w:p>
    <w:p w:rsidR="00897DBF" w:rsidRDefault="002E5FF6">
      <w:pPr>
        <w:pStyle w:val="ListParagraph"/>
        <w:numPr>
          <w:ilvl w:val="0"/>
          <w:numId w:val="2"/>
        </w:numPr>
        <w:spacing w:after="120"/>
        <w:jc w:val="both"/>
        <w:rPr>
          <w:b/>
        </w:rPr>
      </w:pPr>
      <w:r w:rsidRPr="007413EA">
        <w:rPr>
          <w:b/>
        </w:rPr>
        <w:t>Financial Instruments classification</w:t>
      </w:r>
    </w:p>
    <w:p w:rsidR="00897DBF" w:rsidRDefault="00897DBF"/>
    <w:p w:rsidR="002E5FF6" w:rsidRDefault="002E5FF6" w:rsidP="002E5FF6">
      <w:pPr>
        <w:pStyle w:val="ListParagraph"/>
        <w:rPr>
          <w:sz w:val="20"/>
        </w:rPr>
      </w:pPr>
      <w:r w:rsidRPr="00AA58CA">
        <w:t>Accounting policy describes how different asset classes of financial instruments are measured, and how income and expenses, including fair value gains and losses are recognised.  The following table analyses the carrying amounts of financial assets and liabilities by category and net asset statement heading.</w:t>
      </w:r>
      <w:r w:rsidRPr="00AA58CA">
        <w:rPr>
          <w:sz w:val="20"/>
        </w:rPr>
        <w:t xml:space="preserve"> </w:t>
      </w:r>
    </w:p>
    <w:p w:rsidR="004B380D" w:rsidRDefault="004B380D" w:rsidP="002E5FF6">
      <w:pPr>
        <w:pStyle w:val="ListParagraph"/>
        <w:rPr>
          <w:sz w:val="20"/>
        </w:rPr>
      </w:pPr>
    </w:p>
    <w:p w:rsidR="004B380D" w:rsidRDefault="004B380D" w:rsidP="002E5FF6">
      <w:pPr>
        <w:pStyle w:val="ListParagraph"/>
        <w:rPr>
          <w:sz w:val="20"/>
        </w:rPr>
      </w:pPr>
    </w:p>
    <w:p w:rsidR="002E5FF6" w:rsidRDefault="002E5FF6" w:rsidP="002E5FF6">
      <w:pPr>
        <w:pStyle w:val="ListParagraph"/>
        <w:rPr>
          <w:sz w:val="20"/>
        </w:rPr>
      </w:pPr>
    </w:p>
    <w:tbl>
      <w:tblPr>
        <w:tblStyle w:val="TableGrid"/>
        <w:tblW w:w="963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221"/>
        <w:gridCol w:w="237"/>
        <w:gridCol w:w="14"/>
        <w:gridCol w:w="237"/>
        <w:gridCol w:w="1134"/>
        <w:gridCol w:w="236"/>
        <w:gridCol w:w="144"/>
        <w:gridCol w:w="236"/>
        <w:gridCol w:w="518"/>
        <w:gridCol w:w="850"/>
        <w:gridCol w:w="241"/>
        <w:gridCol w:w="171"/>
        <w:gridCol w:w="401"/>
        <w:gridCol w:w="321"/>
        <w:gridCol w:w="784"/>
        <w:gridCol w:w="350"/>
      </w:tblGrid>
      <w:tr w:rsidR="002E5FF6" w:rsidTr="00FA512D">
        <w:tc>
          <w:tcPr>
            <w:tcW w:w="3544" w:type="dxa"/>
          </w:tcPr>
          <w:p w:rsidR="00897DBF" w:rsidRDefault="002E5FF6">
            <w:pPr>
              <w:ind w:right="492"/>
              <w:rPr>
                <w:b/>
              </w:rPr>
            </w:pPr>
            <w:r>
              <w:rPr>
                <w:b/>
              </w:rPr>
              <w:t>2013</w:t>
            </w:r>
          </w:p>
        </w:tc>
        <w:tc>
          <w:tcPr>
            <w:tcW w:w="2223" w:type="dxa"/>
            <w:gridSpan w:val="7"/>
          </w:tcPr>
          <w:p w:rsidR="00897DBF" w:rsidRDefault="002E5FF6">
            <w:pPr>
              <w:spacing w:after="120"/>
              <w:ind w:right="492"/>
              <w:jc w:val="right"/>
              <w:rPr>
                <w:b/>
              </w:rPr>
            </w:pPr>
            <w:r>
              <w:rPr>
                <w:b/>
              </w:rPr>
              <w:t>Designated at fair value through profit or loss</w:t>
            </w:r>
          </w:p>
        </w:tc>
        <w:tc>
          <w:tcPr>
            <w:tcW w:w="2016" w:type="dxa"/>
            <w:gridSpan w:val="5"/>
          </w:tcPr>
          <w:p w:rsidR="00897DBF" w:rsidRDefault="002E5FF6">
            <w:pPr>
              <w:ind w:right="492"/>
              <w:jc w:val="right"/>
              <w:rPr>
                <w:b/>
              </w:rPr>
            </w:pPr>
            <w:r>
              <w:rPr>
                <w:b/>
              </w:rPr>
              <w:t>Loans and receivables</w:t>
            </w:r>
          </w:p>
        </w:tc>
        <w:tc>
          <w:tcPr>
            <w:tcW w:w="1856" w:type="dxa"/>
            <w:gridSpan w:val="4"/>
          </w:tcPr>
          <w:p w:rsidR="00897DBF" w:rsidRDefault="002E5FF6">
            <w:pPr>
              <w:ind w:right="492"/>
              <w:jc w:val="right"/>
              <w:rPr>
                <w:b/>
              </w:rPr>
            </w:pPr>
            <w:r>
              <w:rPr>
                <w:b/>
              </w:rPr>
              <w:t>Financial liabilities at amortised cost</w:t>
            </w:r>
          </w:p>
        </w:tc>
      </w:tr>
      <w:tr w:rsidR="002E5FF6" w:rsidTr="00FA512D">
        <w:tc>
          <w:tcPr>
            <w:tcW w:w="3544" w:type="dxa"/>
          </w:tcPr>
          <w:p w:rsidR="00897DBF" w:rsidRDefault="00897DBF">
            <w:pPr>
              <w:ind w:right="492"/>
              <w:jc w:val="both"/>
              <w:rPr>
                <w:b/>
              </w:rPr>
            </w:pPr>
          </w:p>
        </w:tc>
        <w:tc>
          <w:tcPr>
            <w:tcW w:w="2223" w:type="dxa"/>
            <w:gridSpan w:val="7"/>
          </w:tcPr>
          <w:p w:rsidR="00897DBF" w:rsidRDefault="002E5FF6">
            <w:pPr>
              <w:ind w:right="492"/>
              <w:jc w:val="right"/>
              <w:rPr>
                <w:b/>
              </w:rPr>
            </w:pPr>
            <w:r>
              <w:rPr>
                <w:b/>
              </w:rPr>
              <w:t>£m</w:t>
            </w:r>
          </w:p>
        </w:tc>
        <w:tc>
          <w:tcPr>
            <w:tcW w:w="2016" w:type="dxa"/>
            <w:gridSpan w:val="5"/>
          </w:tcPr>
          <w:p w:rsidR="00897DBF" w:rsidRDefault="002E5FF6">
            <w:pPr>
              <w:ind w:right="492"/>
              <w:jc w:val="right"/>
              <w:rPr>
                <w:b/>
              </w:rPr>
            </w:pPr>
            <w:r>
              <w:rPr>
                <w:b/>
              </w:rPr>
              <w:t>£m</w:t>
            </w:r>
          </w:p>
        </w:tc>
        <w:tc>
          <w:tcPr>
            <w:tcW w:w="1856" w:type="dxa"/>
            <w:gridSpan w:val="4"/>
          </w:tcPr>
          <w:p w:rsidR="00897DBF" w:rsidRDefault="002E5FF6">
            <w:pPr>
              <w:ind w:right="492"/>
              <w:jc w:val="right"/>
              <w:rPr>
                <w:b/>
              </w:rPr>
            </w:pPr>
            <w:r>
              <w:rPr>
                <w:b/>
              </w:rPr>
              <w:t>£m</w:t>
            </w:r>
          </w:p>
        </w:tc>
      </w:tr>
      <w:tr w:rsidR="002E5FF6" w:rsidRPr="00AA58CA" w:rsidTr="00C155B7">
        <w:tc>
          <w:tcPr>
            <w:tcW w:w="3765" w:type="dxa"/>
            <w:gridSpan w:val="2"/>
          </w:tcPr>
          <w:p w:rsidR="00897DBF" w:rsidRDefault="002E5FF6">
            <w:pPr>
              <w:ind w:right="492"/>
              <w:jc w:val="both"/>
              <w:rPr>
                <w:b/>
              </w:rPr>
            </w:pPr>
            <w:r w:rsidRPr="00EB2694">
              <w:rPr>
                <w:b/>
              </w:rPr>
              <w:t>Financial assets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897DBF">
            <w:pPr>
              <w:ind w:right="492"/>
              <w:jc w:val="right"/>
            </w:pP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897DBF">
            <w:pPr>
              <w:ind w:right="492"/>
              <w:jc w:val="right"/>
            </w:pP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897DBF">
            <w:pPr>
              <w:ind w:right="492"/>
              <w:jc w:val="right"/>
            </w:pPr>
          </w:p>
        </w:tc>
      </w:tr>
      <w:tr w:rsidR="002E5FF6" w:rsidRPr="00AA58CA" w:rsidTr="00C155B7">
        <w:trPr>
          <w:trHeight w:val="170"/>
        </w:trPr>
        <w:tc>
          <w:tcPr>
            <w:tcW w:w="3765" w:type="dxa"/>
            <w:gridSpan w:val="2"/>
          </w:tcPr>
          <w:p w:rsidR="00897DBF" w:rsidRDefault="002E5FF6">
            <w:pPr>
              <w:ind w:right="492"/>
              <w:jc w:val="both"/>
            </w:pPr>
            <w:r>
              <w:t>Fixed interest securities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843.6</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r>
              <w:t>Equities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1,749.3</w:t>
            </w:r>
          </w:p>
        </w:tc>
        <w:tc>
          <w:tcPr>
            <w:tcW w:w="236" w:type="dxa"/>
            <w:tcBorders>
              <w:right w:val="single" w:sz="18" w:space="0" w:color="FFFFFF" w:themeColor="background1"/>
            </w:tcBorders>
          </w:tcPr>
          <w:p w:rsidR="00897DBF" w:rsidRDefault="00897DBF">
            <w:pPr>
              <w:ind w:left="-643"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Index linked securities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164.9</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Pooled investment vehicles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1,601.2</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Derivative contracts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4.9</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Cash deposits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170.5</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Investment accruals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21.6</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170"/>
        </w:trPr>
        <w:tc>
          <w:tcPr>
            <w:tcW w:w="3765" w:type="dxa"/>
            <w:gridSpan w:val="2"/>
          </w:tcPr>
          <w:p w:rsidR="00897DBF" w:rsidRDefault="002E5FF6">
            <w:pPr>
              <w:ind w:right="492"/>
              <w:jc w:val="both"/>
            </w:pPr>
            <w:r>
              <w:t>Debtors</w:t>
            </w:r>
          </w:p>
        </w:tc>
        <w:tc>
          <w:tcPr>
            <w:tcW w:w="251" w:type="dxa"/>
            <w:gridSpan w:val="2"/>
            <w:tcBorders>
              <w:right w:val="single" w:sz="18" w:space="0" w:color="FFFFFF" w:themeColor="background1"/>
            </w:tcBorders>
          </w:tcPr>
          <w:p w:rsidR="00897DBF" w:rsidRDefault="00897DBF">
            <w:pPr>
              <w:ind w:right="492"/>
              <w:jc w:val="right"/>
            </w:pPr>
          </w:p>
        </w:tc>
        <w:tc>
          <w:tcPr>
            <w:tcW w:w="1751" w:type="dxa"/>
            <w:gridSpan w:val="4"/>
            <w:tcBorders>
              <w:left w:val="single" w:sz="18" w:space="0" w:color="FFFFFF" w:themeColor="background1"/>
            </w:tcBorders>
          </w:tcPr>
          <w:p w:rsidR="00897DBF" w:rsidRDefault="002E5FF6">
            <w:pPr>
              <w:ind w:right="492"/>
              <w:jc w:val="right"/>
            </w:pPr>
            <w:r>
              <w:t>-</w:t>
            </w:r>
          </w:p>
        </w:tc>
        <w:tc>
          <w:tcPr>
            <w:tcW w:w="236" w:type="dxa"/>
            <w:tcBorders>
              <w:right w:val="single" w:sz="18" w:space="0" w:color="FFFFFF" w:themeColor="background1"/>
            </w:tcBorders>
          </w:tcPr>
          <w:p w:rsidR="00897DBF" w:rsidRDefault="00897DBF">
            <w:pPr>
              <w:ind w:right="492"/>
              <w:jc w:val="right"/>
            </w:pPr>
          </w:p>
        </w:tc>
        <w:tc>
          <w:tcPr>
            <w:tcW w:w="1780" w:type="dxa"/>
            <w:gridSpan w:val="4"/>
            <w:tcBorders>
              <w:left w:val="single" w:sz="18" w:space="0" w:color="FFFFFF" w:themeColor="background1"/>
            </w:tcBorders>
          </w:tcPr>
          <w:p w:rsidR="00897DBF" w:rsidRDefault="002E5FF6">
            <w:pPr>
              <w:ind w:right="492"/>
              <w:jc w:val="right"/>
            </w:pPr>
            <w:r>
              <w:t>31.7</w:t>
            </w:r>
          </w:p>
        </w:tc>
        <w:tc>
          <w:tcPr>
            <w:tcW w:w="401" w:type="dxa"/>
            <w:tcBorders>
              <w:right w:val="single" w:sz="18" w:space="0" w:color="FFFFFF" w:themeColor="background1"/>
            </w:tcBorders>
          </w:tcPr>
          <w:p w:rsidR="00897DBF" w:rsidRDefault="00897DBF">
            <w:pPr>
              <w:ind w:right="492"/>
              <w:jc w:val="right"/>
            </w:pPr>
          </w:p>
        </w:tc>
        <w:tc>
          <w:tcPr>
            <w:tcW w:w="1455" w:type="dxa"/>
            <w:gridSpan w:val="3"/>
            <w:tcBorders>
              <w:left w:val="single" w:sz="18" w:space="0" w:color="FFFFFF" w:themeColor="background1"/>
            </w:tcBorders>
          </w:tcPr>
          <w:p w:rsidR="00897DBF" w:rsidRDefault="002E5FF6">
            <w:pPr>
              <w:ind w:right="492"/>
              <w:jc w:val="right"/>
            </w:pPr>
            <w:r>
              <w:t>-</w:t>
            </w:r>
          </w:p>
        </w:tc>
      </w:tr>
      <w:tr w:rsidR="002E5FF6" w:rsidRPr="00AA58CA" w:rsidTr="00C155B7">
        <w:trPr>
          <w:trHeight w:val="641"/>
        </w:trPr>
        <w:tc>
          <w:tcPr>
            <w:tcW w:w="3765" w:type="dxa"/>
            <w:gridSpan w:val="2"/>
          </w:tcPr>
          <w:p w:rsidR="00897DBF" w:rsidRDefault="002E5FF6">
            <w:pPr>
              <w:ind w:right="492"/>
              <w:jc w:val="both"/>
              <w:rPr>
                <w:b/>
              </w:rPr>
            </w:pPr>
            <w:r w:rsidRPr="00EB2694">
              <w:rPr>
                <w:b/>
              </w:rPr>
              <w:t>Total Financial Assets</w:t>
            </w:r>
          </w:p>
          <w:p w:rsidR="00897DBF" w:rsidRDefault="00897DBF">
            <w:pPr>
              <w:ind w:right="492"/>
              <w:jc w:val="both"/>
            </w:pPr>
          </w:p>
          <w:p w:rsidR="00897DBF" w:rsidRDefault="00897DBF">
            <w:pPr>
              <w:ind w:right="492"/>
              <w:jc w:val="both"/>
            </w:pPr>
          </w:p>
        </w:tc>
        <w:tc>
          <w:tcPr>
            <w:tcW w:w="251" w:type="dxa"/>
            <w:gridSpan w:val="2"/>
            <w:tcBorders>
              <w:right w:val="single" w:sz="18" w:space="0" w:color="FFFFFF" w:themeColor="background1"/>
            </w:tcBorders>
          </w:tcPr>
          <w:p w:rsidR="00897DBF" w:rsidRDefault="00897DBF">
            <w:pPr>
              <w:ind w:right="492"/>
              <w:jc w:val="right"/>
              <w:rPr>
                <w:b/>
              </w:rPr>
            </w:pPr>
          </w:p>
        </w:tc>
        <w:tc>
          <w:tcPr>
            <w:tcW w:w="1751" w:type="dxa"/>
            <w:gridSpan w:val="4"/>
            <w:tcBorders>
              <w:left w:val="single" w:sz="18" w:space="0" w:color="FFFFFF" w:themeColor="background1"/>
            </w:tcBorders>
          </w:tcPr>
          <w:p w:rsidR="00897DBF" w:rsidRDefault="002E5FF6">
            <w:pPr>
              <w:ind w:right="492"/>
              <w:jc w:val="right"/>
              <w:rPr>
                <w:b/>
              </w:rPr>
            </w:pPr>
            <w:r>
              <w:rPr>
                <w:b/>
              </w:rPr>
              <w:t>4,385.5</w:t>
            </w:r>
          </w:p>
        </w:tc>
        <w:tc>
          <w:tcPr>
            <w:tcW w:w="236" w:type="dxa"/>
            <w:tcBorders>
              <w:right w:val="single" w:sz="18" w:space="0" w:color="FFFFFF" w:themeColor="background1"/>
            </w:tcBorders>
          </w:tcPr>
          <w:p w:rsidR="00897DBF" w:rsidRDefault="00897DBF">
            <w:pPr>
              <w:ind w:right="492"/>
              <w:jc w:val="right"/>
              <w:rPr>
                <w:b/>
              </w:rPr>
            </w:pPr>
          </w:p>
        </w:tc>
        <w:tc>
          <w:tcPr>
            <w:tcW w:w="1780" w:type="dxa"/>
            <w:gridSpan w:val="4"/>
            <w:tcBorders>
              <w:left w:val="single" w:sz="18" w:space="0" w:color="FFFFFF" w:themeColor="background1"/>
            </w:tcBorders>
          </w:tcPr>
          <w:p w:rsidR="00897DBF" w:rsidRDefault="002E5FF6">
            <w:pPr>
              <w:ind w:right="492"/>
              <w:jc w:val="right"/>
              <w:rPr>
                <w:b/>
              </w:rPr>
            </w:pPr>
            <w:r>
              <w:rPr>
                <w:b/>
              </w:rPr>
              <w:t>202.2</w:t>
            </w:r>
          </w:p>
        </w:tc>
        <w:tc>
          <w:tcPr>
            <w:tcW w:w="401" w:type="dxa"/>
            <w:tcBorders>
              <w:right w:val="single" w:sz="18" w:space="0" w:color="FFFFFF" w:themeColor="background1"/>
            </w:tcBorders>
          </w:tcPr>
          <w:p w:rsidR="00897DBF" w:rsidRDefault="00897DBF">
            <w:pPr>
              <w:ind w:right="492"/>
              <w:jc w:val="right"/>
              <w:rPr>
                <w:b/>
              </w:rPr>
            </w:pPr>
          </w:p>
        </w:tc>
        <w:tc>
          <w:tcPr>
            <w:tcW w:w="1455" w:type="dxa"/>
            <w:gridSpan w:val="3"/>
            <w:tcBorders>
              <w:left w:val="single" w:sz="18" w:space="0" w:color="FFFFFF" w:themeColor="background1"/>
            </w:tcBorders>
          </w:tcPr>
          <w:p w:rsidR="00897DBF" w:rsidRDefault="002E5FF6">
            <w:pPr>
              <w:ind w:right="492"/>
              <w:jc w:val="right"/>
              <w:rPr>
                <w:b/>
              </w:rPr>
            </w:pPr>
            <w:r w:rsidRPr="007413EA">
              <w:rPr>
                <w:b/>
              </w:rPr>
              <w:t>-</w:t>
            </w:r>
          </w:p>
        </w:tc>
      </w:tr>
      <w:tr w:rsidR="00AB5F81" w:rsidRPr="00AA58CA" w:rsidTr="00FA512D">
        <w:trPr>
          <w:gridAfter w:val="1"/>
          <w:wAfter w:w="350" w:type="dxa"/>
          <w:trHeight w:val="170"/>
        </w:trPr>
        <w:tc>
          <w:tcPr>
            <w:tcW w:w="4002" w:type="dxa"/>
            <w:gridSpan w:val="3"/>
          </w:tcPr>
          <w:p w:rsidR="00AB5F81" w:rsidRPr="00EB2694" w:rsidRDefault="00F6773F" w:rsidP="00AB5F81">
            <w:pPr>
              <w:jc w:val="both"/>
            </w:pPr>
            <w:r>
              <w:rPr>
                <w:b/>
              </w:rPr>
              <w:t>F</w:t>
            </w:r>
            <w:r w:rsidR="00AB5F81">
              <w:rPr>
                <w:b/>
              </w:rPr>
              <w:t>inancial liabilities</w:t>
            </w:r>
          </w:p>
        </w:tc>
        <w:tc>
          <w:tcPr>
            <w:tcW w:w="251" w:type="dxa"/>
            <w:gridSpan w:val="2"/>
            <w:tcBorders>
              <w:right w:val="single" w:sz="18" w:space="0" w:color="FFFFFF" w:themeColor="background1"/>
            </w:tcBorders>
          </w:tcPr>
          <w:p w:rsidR="00AB5F81" w:rsidRPr="00AA58CA" w:rsidRDefault="00AB5F81" w:rsidP="00AB5F81">
            <w:pPr>
              <w:jc w:val="right"/>
            </w:pPr>
          </w:p>
        </w:tc>
        <w:tc>
          <w:tcPr>
            <w:tcW w:w="1134" w:type="dxa"/>
            <w:tcBorders>
              <w:left w:val="single" w:sz="18" w:space="0" w:color="FFFFFF" w:themeColor="background1"/>
            </w:tcBorders>
          </w:tcPr>
          <w:p w:rsidR="00AB5F81" w:rsidRPr="00AA58CA" w:rsidRDefault="00AB5F81" w:rsidP="00AB5F81">
            <w:pPr>
              <w:jc w:val="right"/>
            </w:pPr>
          </w:p>
        </w:tc>
        <w:tc>
          <w:tcPr>
            <w:tcW w:w="236" w:type="dxa"/>
            <w:tcBorders>
              <w:right w:val="single" w:sz="18" w:space="0" w:color="FFFFFF" w:themeColor="background1"/>
            </w:tcBorders>
          </w:tcPr>
          <w:p w:rsidR="00AB5F81" w:rsidRPr="00AA58CA" w:rsidRDefault="00AB5F81" w:rsidP="00AB5F81">
            <w:pPr>
              <w:jc w:val="right"/>
            </w:pPr>
          </w:p>
        </w:tc>
        <w:tc>
          <w:tcPr>
            <w:tcW w:w="1748" w:type="dxa"/>
            <w:gridSpan w:val="4"/>
            <w:tcBorders>
              <w:left w:val="single" w:sz="18" w:space="0" w:color="FFFFFF" w:themeColor="background1"/>
            </w:tcBorders>
          </w:tcPr>
          <w:p w:rsidR="00AB5F81" w:rsidRPr="00AA58CA" w:rsidRDefault="00AB5F81" w:rsidP="00AB5F81">
            <w:pPr>
              <w:jc w:val="right"/>
            </w:pPr>
          </w:p>
        </w:tc>
        <w:tc>
          <w:tcPr>
            <w:tcW w:w="241" w:type="dxa"/>
            <w:tcBorders>
              <w:right w:val="single" w:sz="18" w:space="0" w:color="FFFFFF" w:themeColor="background1"/>
            </w:tcBorders>
          </w:tcPr>
          <w:p w:rsidR="00AB5F81" w:rsidRPr="00AA58CA" w:rsidRDefault="00AB5F81" w:rsidP="00AB5F81">
            <w:pPr>
              <w:jc w:val="right"/>
            </w:pPr>
          </w:p>
        </w:tc>
        <w:tc>
          <w:tcPr>
            <w:tcW w:w="1677" w:type="dxa"/>
            <w:gridSpan w:val="4"/>
            <w:tcBorders>
              <w:left w:val="single" w:sz="18" w:space="0" w:color="FFFFFF" w:themeColor="background1"/>
            </w:tcBorders>
          </w:tcPr>
          <w:p w:rsidR="00AB5F81" w:rsidRPr="00AA58CA" w:rsidRDefault="00AB5F81" w:rsidP="00AB5F81">
            <w:pPr>
              <w:jc w:val="right"/>
            </w:pPr>
          </w:p>
        </w:tc>
      </w:tr>
      <w:tr w:rsidR="00AB5F81" w:rsidRPr="00AA58CA" w:rsidTr="00FA512D">
        <w:trPr>
          <w:gridAfter w:val="1"/>
          <w:wAfter w:w="350" w:type="dxa"/>
          <w:trHeight w:val="170"/>
        </w:trPr>
        <w:tc>
          <w:tcPr>
            <w:tcW w:w="4002" w:type="dxa"/>
            <w:gridSpan w:val="3"/>
          </w:tcPr>
          <w:p w:rsidR="00AB5F81" w:rsidRDefault="00AB5F81" w:rsidP="00C64204">
            <w:pPr>
              <w:tabs>
                <w:tab w:val="left" w:pos="9781"/>
              </w:tabs>
              <w:jc w:val="both"/>
              <w:rPr>
                <w:b/>
              </w:rPr>
            </w:pPr>
            <w:r>
              <w:t>Derivative contracts</w:t>
            </w:r>
          </w:p>
        </w:tc>
        <w:tc>
          <w:tcPr>
            <w:tcW w:w="251" w:type="dxa"/>
            <w:gridSpan w:val="2"/>
            <w:tcBorders>
              <w:right w:val="single" w:sz="18" w:space="0" w:color="FFFFFF" w:themeColor="background1"/>
            </w:tcBorders>
          </w:tcPr>
          <w:p w:rsidR="00AB5F81" w:rsidRPr="00AA58CA" w:rsidRDefault="00AB5F81" w:rsidP="00C64204">
            <w:pPr>
              <w:tabs>
                <w:tab w:val="left" w:pos="9781"/>
              </w:tabs>
              <w:jc w:val="right"/>
            </w:pPr>
          </w:p>
        </w:tc>
        <w:tc>
          <w:tcPr>
            <w:tcW w:w="1134" w:type="dxa"/>
            <w:tcBorders>
              <w:left w:val="single" w:sz="18" w:space="0" w:color="FFFFFF" w:themeColor="background1"/>
            </w:tcBorders>
          </w:tcPr>
          <w:p w:rsidR="00897DBF" w:rsidRDefault="00AB5F81">
            <w:pPr>
              <w:tabs>
                <w:tab w:val="left" w:pos="9781"/>
              </w:tabs>
              <w:jc w:val="center"/>
            </w:pPr>
            <w:r>
              <w:t>1.9</w:t>
            </w:r>
          </w:p>
        </w:tc>
        <w:tc>
          <w:tcPr>
            <w:tcW w:w="1134" w:type="dxa"/>
            <w:gridSpan w:val="4"/>
            <w:tcBorders>
              <w:right w:val="single" w:sz="18" w:space="0" w:color="FFFFFF" w:themeColor="background1"/>
            </w:tcBorders>
          </w:tcPr>
          <w:p w:rsidR="00AB5F81" w:rsidRPr="00AA58CA" w:rsidRDefault="00AB5F81" w:rsidP="00C64204">
            <w:pPr>
              <w:tabs>
                <w:tab w:val="left" w:pos="9781"/>
              </w:tabs>
              <w:jc w:val="right"/>
            </w:pPr>
          </w:p>
        </w:tc>
        <w:tc>
          <w:tcPr>
            <w:tcW w:w="850" w:type="dxa"/>
            <w:tcBorders>
              <w:left w:val="single" w:sz="18" w:space="0" w:color="FFFFFF" w:themeColor="background1"/>
            </w:tcBorders>
          </w:tcPr>
          <w:p w:rsidR="00897DBF" w:rsidRDefault="00AB5F81">
            <w:pPr>
              <w:tabs>
                <w:tab w:val="left" w:pos="9781"/>
              </w:tabs>
              <w:jc w:val="center"/>
            </w:pPr>
            <w:r>
              <w:t>-</w:t>
            </w:r>
          </w:p>
        </w:tc>
        <w:tc>
          <w:tcPr>
            <w:tcW w:w="1134" w:type="dxa"/>
            <w:gridSpan w:val="4"/>
            <w:tcBorders>
              <w:right w:val="single" w:sz="18" w:space="0" w:color="FFFFFF" w:themeColor="background1"/>
            </w:tcBorders>
          </w:tcPr>
          <w:p w:rsidR="00AB5F81" w:rsidRPr="00AA58CA" w:rsidRDefault="00AB5F81" w:rsidP="00C64204">
            <w:pPr>
              <w:tabs>
                <w:tab w:val="left" w:pos="9781"/>
              </w:tabs>
              <w:jc w:val="right"/>
            </w:pPr>
          </w:p>
        </w:tc>
        <w:tc>
          <w:tcPr>
            <w:tcW w:w="784" w:type="dxa"/>
            <w:tcBorders>
              <w:left w:val="single" w:sz="18" w:space="0" w:color="FFFFFF" w:themeColor="background1"/>
            </w:tcBorders>
          </w:tcPr>
          <w:p w:rsidR="00897DBF" w:rsidRDefault="00AB5F81">
            <w:pPr>
              <w:tabs>
                <w:tab w:val="left" w:pos="9781"/>
              </w:tabs>
              <w:ind w:right="435"/>
            </w:pPr>
            <w:r>
              <w:t>-</w:t>
            </w:r>
          </w:p>
        </w:tc>
      </w:tr>
      <w:tr w:rsidR="00AB5F81" w:rsidRPr="00AA58CA" w:rsidTr="00FA512D">
        <w:trPr>
          <w:trHeight w:val="170"/>
        </w:trPr>
        <w:tc>
          <w:tcPr>
            <w:tcW w:w="4002" w:type="dxa"/>
            <w:gridSpan w:val="3"/>
          </w:tcPr>
          <w:p w:rsidR="00AB5F81" w:rsidRDefault="00AB5F81" w:rsidP="00C64204">
            <w:pPr>
              <w:tabs>
                <w:tab w:val="left" w:pos="9781"/>
              </w:tabs>
              <w:jc w:val="both"/>
            </w:pPr>
            <w:r>
              <w:t>Creditors</w:t>
            </w:r>
          </w:p>
        </w:tc>
        <w:tc>
          <w:tcPr>
            <w:tcW w:w="251" w:type="dxa"/>
            <w:gridSpan w:val="2"/>
            <w:tcBorders>
              <w:right w:val="single" w:sz="18" w:space="0" w:color="FFFFFF" w:themeColor="background1"/>
            </w:tcBorders>
          </w:tcPr>
          <w:p w:rsidR="00AB5F81" w:rsidRPr="00AA58CA" w:rsidRDefault="00AB5F81" w:rsidP="00C64204">
            <w:pPr>
              <w:tabs>
                <w:tab w:val="left" w:pos="9781"/>
              </w:tabs>
              <w:jc w:val="right"/>
            </w:pPr>
          </w:p>
        </w:tc>
        <w:tc>
          <w:tcPr>
            <w:tcW w:w="1134" w:type="dxa"/>
            <w:tcBorders>
              <w:left w:val="single" w:sz="18" w:space="0" w:color="FFFFFF" w:themeColor="background1"/>
            </w:tcBorders>
          </w:tcPr>
          <w:p w:rsidR="00897DBF" w:rsidRDefault="00AB5F81">
            <w:pPr>
              <w:tabs>
                <w:tab w:val="left" w:pos="9781"/>
              </w:tabs>
              <w:jc w:val="center"/>
            </w:pPr>
            <w:r>
              <w:t>-</w:t>
            </w:r>
          </w:p>
        </w:tc>
        <w:tc>
          <w:tcPr>
            <w:tcW w:w="1134" w:type="dxa"/>
            <w:gridSpan w:val="4"/>
            <w:tcBorders>
              <w:right w:val="single" w:sz="18" w:space="0" w:color="FFFFFF" w:themeColor="background1"/>
            </w:tcBorders>
          </w:tcPr>
          <w:p w:rsidR="00AB5F81" w:rsidRPr="00AA58CA" w:rsidRDefault="00AB5F81" w:rsidP="00C64204">
            <w:pPr>
              <w:tabs>
                <w:tab w:val="left" w:pos="9781"/>
              </w:tabs>
              <w:jc w:val="right"/>
            </w:pPr>
          </w:p>
        </w:tc>
        <w:tc>
          <w:tcPr>
            <w:tcW w:w="850" w:type="dxa"/>
            <w:tcBorders>
              <w:left w:val="single" w:sz="18" w:space="0" w:color="FFFFFF" w:themeColor="background1"/>
            </w:tcBorders>
          </w:tcPr>
          <w:p w:rsidR="00897DBF" w:rsidRDefault="00AB5F81">
            <w:pPr>
              <w:tabs>
                <w:tab w:val="left" w:pos="9781"/>
              </w:tabs>
              <w:jc w:val="center"/>
            </w:pPr>
            <w:r>
              <w:t>-</w:t>
            </w:r>
          </w:p>
        </w:tc>
        <w:tc>
          <w:tcPr>
            <w:tcW w:w="1134" w:type="dxa"/>
            <w:gridSpan w:val="4"/>
            <w:tcBorders>
              <w:right w:val="single" w:sz="18" w:space="0" w:color="FFFFFF" w:themeColor="background1"/>
            </w:tcBorders>
          </w:tcPr>
          <w:p w:rsidR="00897DBF" w:rsidRDefault="00897DBF">
            <w:pPr>
              <w:tabs>
                <w:tab w:val="left" w:pos="9781"/>
              </w:tabs>
              <w:ind w:right="318"/>
              <w:jc w:val="right"/>
            </w:pPr>
          </w:p>
        </w:tc>
        <w:tc>
          <w:tcPr>
            <w:tcW w:w="1134" w:type="dxa"/>
            <w:gridSpan w:val="2"/>
            <w:tcBorders>
              <w:left w:val="single" w:sz="18" w:space="0" w:color="FFFFFF" w:themeColor="background1"/>
            </w:tcBorders>
          </w:tcPr>
          <w:p w:rsidR="00897DBF" w:rsidRDefault="00AB5F81">
            <w:pPr>
              <w:tabs>
                <w:tab w:val="left" w:pos="9781"/>
              </w:tabs>
              <w:ind w:left="317" w:right="318" w:hanging="317"/>
              <w:jc w:val="center"/>
            </w:pPr>
            <w:r>
              <w:t>9.7</w:t>
            </w:r>
          </w:p>
        </w:tc>
      </w:tr>
      <w:tr w:rsidR="00AB5F81" w:rsidRPr="006018C2" w:rsidTr="00FA512D">
        <w:trPr>
          <w:trHeight w:val="170"/>
        </w:trPr>
        <w:tc>
          <w:tcPr>
            <w:tcW w:w="4253" w:type="dxa"/>
            <w:gridSpan w:val="5"/>
          </w:tcPr>
          <w:p w:rsidR="00AB5F81" w:rsidRPr="006018C2" w:rsidRDefault="00AB5F81" w:rsidP="00C64204">
            <w:pPr>
              <w:tabs>
                <w:tab w:val="left" w:pos="9781"/>
              </w:tabs>
              <w:jc w:val="both"/>
              <w:rPr>
                <w:b/>
              </w:rPr>
            </w:pPr>
            <w:r w:rsidRPr="006018C2">
              <w:rPr>
                <w:b/>
              </w:rPr>
              <w:t>Total Financial Liabilities</w:t>
            </w:r>
          </w:p>
        </w:tc>
        <w:tc>
          <w:tcPr>
            <w:tcW w:w="1134" w:type="dxa"/>
          </w:tcPr>
          <w:p w:rsidR="00897DBF" w:rsidRDefault="00AB5F81">
            <w:pPr>
              <w:tabs>
                <w:tab w:val="left" w:pos="9781"/>
              </w:tabs>
              <w:jc w:val="center"/>
              <w:rPr>
                <w:b/>
              </w:rPr>
            </w:pPr>
            <w:r>
              <w:rPr>
                <w:b/>
              </w:rPr>
              <w:t>1.9</w:t>
            </w:r>
          </w:p>
        </w:tc>
        <w:tc>
          <w:tcPr>
            <w:tcW w:w="1134" w:type="dxa"/>
            <w:gridSpan w:val="4"/>
            <w:tcBorders>
              <w:right w:val="single" w:sz="18" w:space="0" w:color="FFFFFF" w:themeColor="background1"/>
            </w:tcBorders>
          </w:tcPr>
          <w:p w:rsidR="00AB5F81" w:rsidRPr="006018C2" w:rsidRDefault="00AB5F81" w:rsidP="00C64204">
            <w:pPr>
              <w:tabs>
                <w:tab w:val="left" w:pos="9781"/>
              </w:tabs>
              <w:jc w:val="right"/>
              <w:rPr>
                <w:b/>
              </w:rPr>
            </w:pPr>
          </w:p>
        </w:tc>
        <w:tc>
          <w:tcPr>
            <w:tcW w:w="850" w:type="dxa"/>
            <w:tcBorders>
              <w:left w:val="single" w:sz="18" w:space="0" w:color="FFFFFF" w:themeColor="background1"/>
            </w:tcBorders>
          </w:tcPr>
          <w:p w:rsidR="00897DBF" w:rsidRDefault="00AB5F81">
            <w:pPr>
              <w:tabs>
                <w:tab w:val="left" w:pos="9781"/>
              </w:tabs>
              <w:jc w:val="center"/>
              <w:rPr>
                <w:b/>
              </w:rPr>
            </w:pPr>
            <w:r>
              <w:rPr>
                <w:b/>
              </w:rPr>
              <w:t>-</w:t>
            </w:r>
          </w:p>
        </w:tc>
        <w:tc>
          <w:tcPr>
            <w:tcW w:w="1134" w:type="dxa"/>
            <w:gridSpan w:val="4"/>
            <w:tcBorders>
              <w:right w:val="single" w:sz="18" w:space="0" w:color="FFFFFF" w:themeColor="background1"/>
            </w:tcBorders>
          </w:tcPr>
          <w:p w:rsidR="00897DBF" w:rsidRDefault="00897DBF">
            <w:pPr>
              <w:tabs>
                <w:tab w:val="left" w:pos="9781"/>
              </w:tabs>
              <w:ind w:right="318"/>
              <w:jc w:val="right"/>
              <w:rPr>
                <w:b/>
              </w:rPr>
            </w:pPr>
          </w:p>
        </w:tc>
        <w:tc>
          <w:tcPr>
            <w:tcW w:w="1134" w:type="dxa"/>
            <w:gridSpan w:val="2"/>
            <w:tcBorders>
              <w:left w:val="single" w:sz="18" w:space="0" w:color="FFFFFF" w:themeColor="background1"/>
            </w:tcBorders>
          </w:tcPr>
          <w:p w:rsidR="00897DBF" w:rsidRDefault="00AB5F81">
            <w:pPr>
              <w:tabs>
                <w:tab w:val="left" w:pos="9781"/>
              </w:tabs>
              <w:ind w:left="317" w:right="318" w:hanging="317"/>
              <w:jc w:val="center"/>
              <w:rPr>
                <w:b/>
              </w:rPr>
            </w:pPr>
            <w:r>
              <w:rPr>
                <w:b/>
              </w:rPr>
              <w:t>9.7</w:t>
            </w:r>
          </w:p>
        </w:tc>
      </w:tr>
    </w:tbl>
    <w:p w:rsidR="00897DBF" w:rsidRDefault="00897DBF">
      <w:pPr>
        <w:tabs>
          <w:tab w:val="left" w:pos="9781"/>
        </w:tabs>
        <w:spacing w:after="240"/>
        <w:ind w:left="142" w:right="-1227"/>
        <w:jc w:val="both"/>
        <w:rPr>
          <w:szCs w:val="24"/>
        </w:rPr>
      </w:pPr>
    </w:p>
    <w:p w:rsidR="00897DBF" w:rsidRDefault="00897DBF">
      <w:pPr>
        <w:tabs>
          <w:tab w:val="left" w:pos="9781"/>
        </w:tabs>
        <w:spacing w:after="240"/>
        <w:ind w:left="142" w:right="-1227"/>
        <w:jc w:val="both"/>
        <w:rPr>
          <w:szCs w:val="24"/>
        </w:rPr>
      </w:pPr>
    </w:p>
    <w:p w:rsidR="00897DBF" w:rsidRDefault="00897DBF">
      <w:pPr>
        <w:tabs>
          <w:tab w:val="left" w:pos="9781"/>
        </w:tabs>
        <w:spacing w:after="240"/>
        <w:ind w:left="142" w:right="-1227"/>
        <w:jc w:val="both"/>
        <w:rPr>
          <w:szCs w:val="24"/>
        </w:rPr>
      </w:pPr>
    </w:p>
    <w:p w:rsidR="00897DBF" w:rsidRDefault="00897DBF">
      <w:pPr>
        <w:tabs>
          <w:tab w:val="left" w:pos="9781"/>
        </w:tabs>
        <w:spacing w:after="240"/>
        <w:ind w:left="142" w:right="-1227"/>
        <w:jc w:val="both"/>
        <w:rPr>
          <w:szCs w:val="24"/>
        </w:rPr>
      </w:pPr>
    </w:p>
    <w:p w:rsidR="00897DBF" w:rsidRDefault="00897DBF">
      <w:pPr>
        <w:tabs>
          <w:tab w:val="left" w:pos="9781"/>
        </w:tabs>
        <w:spacing w:after="240"/>
        <w:ind w:left="142" w:right="-1227"/>
        <w:jc w:val="both"/>
        <w:rPr>
          <w:szCs w:val="24"/>
        </w:rPr>
      </w:pPr>
    </w:p>
    <w:p w:rsidR="00897DBF" w:rsidRDefault="00897DBF">
      <w:pPr>
        <w:tabs>
          <w:tab w:val="left" w:pos="9781"/>
        </w:tabs>
        <w:spacing w:after="240"/>
        <w:ind w:left="142" w:right="-1227"/>
        <w:jc w:val="both"/>
        <w:rPr>
          <w:szCs w:val="24"/>
        </w:rPr>
      </w:pPr>
    </w:p>
    <w:tbl>
      <w:tblPr>
        <w:tblStyle w:val="TableGrid"/>
        <w:tblW w:w="992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58"/>
        <w:gridCol w:w="773"/>
        <w:gridCol w:w="236"/>
        <w:gridCol w:w="1544"/>
        <w:gridCol w:w="283"/>
        <w:gridCol w:w="349"/>
        <w:gridCol w:w="282"/>
        <w:gridCol w:w="788"/>
        <w:gridCol w:w="555"/>
        <w:gridCol w:w="154"/>
        <w:gridCol w:w="141"/>
        <w:gridCol w:w="55"/>
        <w:gridCol w:w="281"/>
        <w:gridCol w:w="449"/>
        <w:gridCol w:w="114"/>
        <w:gridCol w:w="517"/>
        <w:gridCol w:w="144"/>
      </w:tblGrid>
      <w:tr w:rsidR="00FA512D" w:rsidTr="00FA512D">
        <w:tc>
          <w:tcPr>
            <w:tcW w:w="3258" w:type="dxa"/>
          </w:tcPr>
          <w:p w:rsidR="009F28F8" w:rsidRDefault="009F28F8" w:rsidP="00C64204">
            <w:pPr>
              <w:tabs>
                <w:tab w:val="left" w:pos="9781"/>
              </w:tabs>
              <w:jc w:val="both"/>
              <w:rPr>
                <w:b/>
              </w:rPr>
            </w:pPr>
            <w:r>
              <w:rPr>
                <w:b/>
              </w:rPr>
              <w:t>2012</w:t>
            </w:r>
          </w:p>
        </w:tc>
        <w:tc>
          <w:tcPr>
            <w:tcW w:w="2553" w:type="dxa"/>
            <w:gridSpan w:val="3"/>
          </w:tcPr>
          <w:p w:rsidR="00897DBF" w:rsidRDefault="009F28F8">
            <w:pPr>
              <w:tabs>
                <w:tab w:val="left" w:pos="9781"/>
              </w:tabs>
              <w:ind w:right="743"/>
              <w:jc w:val="right"/>
              <w:rPr>
                <w:b/>
              </w:rPr>
            </w:pPr>
            <w:r>
              <w:rPr>
                <w:b/>
              </w:rPr>
              <w:t>Designated at fair value through profit or loss</w:t>
            </w:r>
          </w:p>
        </w:tc>
        <w:tc>
          <w:tcPr>
            <w:tcW w:w="2411" w:type="dxa"/>
            <w:gridSpan w:val="6"/>
          </w:tcPr>
          <w:p w:rsidR="00897DBF" w:rsidRDefault="009F28F8">
            <w:pPr>
              <w:tabs>
                <w:tab w:val="left" w:pos="9781"/>
              </w:tabs>
              <w:ind w:right="743"/>
              <w:jc w:val="right"/>
              <w:rPr>
                <w:b/>
              </w:rPr>
            </w:pPr>
            <w:r>
              <w:rPr>
                <w:b/>
              </w:rPr>
              <w:t>Loans and receivables</w:t>
            </w:r>
          </w:p>
        </w:tc>
        <w:tc>
          <w:tcPr>
            <w:tcW w:w="1701" w:type="dxa"/>
            <w:gridSpan w:val="7"/>
          </w:tcPr>
          <w:p w:rsidR="00897DBF" w:rsidRDefault="009F28F8">
            <w:pPr>
              <w:tabs>
                <w:tab w:val="left" w:pos="969"/>
                <w:tab w:val="left" w:pos="9781"/>
              </w:tabs>
              <w:ind w:left="-306" w:right="175"/>
              <w:jc w:val="right"/>
              <w:rPr>
                <w:b/>
              </w:rPr>
            </w:pPr>
            <w:r>
              <w:rPr>
                <w:b/>
              </w:rPr>
              <w:t>Financial liabilities at amortised cost</w:t>
            </w:r>
          </w:p>
        </w:tc>
      </w:tr>
      <w:tr w:rsidR="00FA512D" w:rsidTr="00FA512D">
        <w:trPr>
          <w:trHeight w:val="170"/>
        </w:trPr>
        <w:tc>
          <w:tcPr>
            <w:tcW w:w="3258" w:type="dxa"/>
          </w:tcPr>
          <w:p w:rsidR="009F28F8" w:rsidRDefault="009F28F8" w:rsidP="00C64204">
            <w:pPr>
              <w:tabs>
                <w:tab w:val="left" w:pos="9781"/>
              </w:tabs>
              <w:jc w:val="both"/>
              <w:rPr>
                <w:b/>
              </w:rPr>
            </w:pPr>
          </w:p>
        </w:tc>
        <w:tc>
          <w:tcPr>
            <w:tcW w:w="2553" w:type="dxa"/>
            <w:gridSpan w:val="3"/>
          </w:tcPr>
          <w:p w:rsidR="00897DBF" w:rsidRDefault="009F28F8">
            <w:pPr>
              <w:tabs>
                <w:tab w:val="left" w:pos="9781"/>
              </w:tabs>
              <w:ind w:right="743"/>
              <w:jc w:val="right"/>
              <w:rPr>
                <w:b/>
              </w:rPr>
            </w:pPr>
            <w:r>
              <w:rPr>
                <w:b/>
              </w:rPr>
              <w:t>£m</w:t>
            </w:r>
          </w:p>
        </w:tc>
        <w:tc>
          <w:tcPr>
            <w:tcW w:w="2411" w:type="dxa"/>
            <w:gridSpan w:val="6"/>
          </w:tcPr>
          <w:p w:rsidR="00897DBF" w:rsidRDefault="009F28F8">
            <w:pPr>
              <w:tabs>
                <w:tab w:val="left" w:pos="1267"/>
                <w:tab w:val="left" w:pos="9781"/>
              </w:tabs>
              <w:ind w:right="1026"/>
              <w:jc w:val="right"/>
              <w:rPr>
                <w:b/>
              </w:rPr>
            </w:pPr>
            <w:r>
              <w:rPr>
                <w:b/>
              </w:rPr>
              <w:t>£m</w:t>
            </w:r>
          </w:p>
        </w:tc>
        <w:tc>
          <w:tcPr>
            <w:tcW w:w="1701" w:type="dxa"/>
            <w:gridSpan w:val="7"/>
          </w:tcPr>
          <w:p w:rsidR="00897DBF" w:rsidRDefault="009F28F8">
            <w:pPr>
              <w:tabs>
                <w:tab w:val="left" w:pos="969"/>
                <w:tab w:val="left" w:pos="9781"/>
              </w:tabs>
              <w:ind w:left="-306" w:right="459"/>
              <w:jc w:val="right"/>
              <w:rPr>
                <w:b/>
              </w:rPr>
            </w:pPr>
            <w:r>
              <w:rPr>
                <w:b/>
              </w:rPr>
              <w:t>£m</w:t>
            </w:r>
          </w:p>
        </w:tc>
      </w:tr>
      <w:tr w:rsidR="009F28F8" w:rsidRPr="00AA58CA" w:rsidTr="00FA512D">
        <w:trPr>
          <w:gridAfter w:val="1"/>
          <w:wAfter w:w="144" w:type="dxa"/>
          <w:trHeight w:val="170"/>
        </w:trPr>
        <w:tc>
          <w:tcPr>
            <w:tcW w:w="4031" w:type="dxa"/>
            <w:gridSpan w:val="2"/>
          </w:tcPr>
          <w:p w:rsidR="009F28F8" w:rsidRPr="00EB2694" w:rsidRDefault="009F28F8" w:rsidP="00C64204">
            <w:pPr>
              <w:tabs>
                <w:tab w:val="left" w:pos="9781"/>
              </w:tabs>
              <w:jc w:val="both"/>
              <w:rPr>
                <w:b/>
              </w:rPr>
            </w:pPr>
            <w:r w:rsidRPr="00EB2694">
              <w:rPr>
                <w:b/>
              </w:rPr>
              <w:t>Financial assets</w:t>
            </w:r>
          </w:p>
        </w:tc>
        <w:tc>
          <w:tcPr>
            <w:tcW w:w="236" w:type="dxa"/>
            <w:tcBorders>
              <w:right w:val="single" w:sz="18" w:space="0" w:color="FFFFFF" w:themeColor="background1"/>
            </w:tcBorders>
          </w:tcPr>
          <w:p w:rsidR="008E1E86" w:rsidRDefault="008E1E86" w:rsidP="00C64204">
            <w:pPr>
              <w:tabs>
                <w:tab w:val="left" w:pos="9781"/>
              </w:tabs>
              <w:jc w:val="right"/>
            </w:pPr>
          </w:p>
        </w:tc>
        <w:tc>
          <w:tcPr>
            <w:tcW w:w="2176" w:type="dxa"/>
            <w:gridSpan w:val="3"/>
            <w:tcBorders>
              <w:left w:val="single" w:sz="18" w:space="0" w:color="FFFFFF" w:themeColor="background1"/>
            </w:tcBorders>
          </w:tcPr>
          <w:p w:rsidR="008E1E86" w:rsidRDefault="008E1E86" w:rsidP="00C64204">
            <w:pPr>
              <w:tabs>
                <w:tab w:val="left" w:pos="9781"/>
              </w:tabs>
              <w:jc w:val="right"/>
            </w:pPr>
          </w:p>
        </w:tc>
        <w:tc>
          <w:tcPr>
            <w:tcW w:w="282" w:type="dxa"/>
            <w:tcBorders>
              <w:right w:val="single" w:sz="18" w:space="0" w:color="FFFFFF" w:themeColor="background1"/>
            </w:tcBorders>
          </w:tcPr>
          <w:p w:rsidR="009F28F8" w:rsidRPr="00AA58CA" w:rsidRDefault="009F28F8" w:rsidP="00C64204">
            <w:pPr>
              <w:tabs>
                <w:tab w:val="left" w:pos="9781"/>
              </w:tabs>
              <w:jc w:val="right"/>
            </w:pPr>
          </w:p>
        </w:tc>
        <w:tc>
          <w:tcPr>
            <w:tcW w:w="1693" w:type="dxa"/>
            <w:gridSpan w:val="5"/>
            <w:tcBorders>
              <w:left w:val="single" w:sz="18" w:space="0" w:color="FFFFFF" w:themeColor="background1"/>
            </w:tcBorders>
          </w:tcPr>
          <w:p w:rsidR="00897DBF" w:rsidRDefault="00897DBF">
            <w:pPr>
              <w:tabs>
                <w:tab w:val="left" w:pos="1530"/>
                <w:tab w:val="left" w:pos="9781"/>
              </w:tabs>
              <w:ind w:right="383"/>
              <w:jc w:val="right"/>
            </w:pPr>
          </w:p>
        </w:tc>
        <w:tc>
          <w:tcPr>
            <w:tcW w:w="281" w:type="dxa"/>
            <w:tcBorders>
              <w:right w:val="single" w:sz="18" w:space="0" w:color="FFFFFF" w:themeColor="background1"/>
            </w:tcBorders>
          </w:tcPr>
          <w:p w:rsidR="009F28F8" w:rsidRPr="00AA58CA" w:rsidRDefault="009F28F8" w:rsidP="00C64204">
            <w:pPr>
              <w:tabs>
                <w:tab w:val="left" w:pos="9781"/>
              </w:tabs>
              <w:jc w:val="right"/>
            </w:pPr>
          </w:p>
        </w:tc>
        <w:tc>
          <w:tcPr>
            <w:tcW w:w="1080" w:type="dxa"/>
            <w:gridSpan w:val="3"/>
            <w:tcBorders>
              <w:left w:val="single" w:sz="18" w:space="0" w:color="FFFFFF" w:themeColor="background1"/>
            </w:tcBorders>
          </w:tcPr>
          <w:p w:rsidR="00897DBF" w:rsidRDefault="00897DBF">
            <w:pPr>
              <w:tabs>
                <w:tab w:val="left" w:pos="9781"/>
              </w:tabs>
              <w:ind w:right="-108"/>
              <w:jc w:val="right"/>
            </w:pP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Fixed interest securities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623.4</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bottom w:val="single" w:sz="18" w:space="0" w:color="FFFFFF" w:themeColor="background1"/>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Equities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1,613.7</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top w:val="single" w:sz="18" w:space="0" w:color="FFFFFF" w:themeColor="background1"/>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Index linked securities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124.6</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Pooled investment vehicles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1,466.3</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Derivative contracts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3.4</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Cash deposits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126.8</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Investment accruals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19.4</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Debtors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23.3</w:t>
            </w:r>
          </w:p>
        </w:tc>
        <w:tc>
          <w:tcPr>
            <w:tcW w:w="850" w:type="dxa"/>
            <w:gridSpan w:val="3"/>
            <w:tcBorders>
              <w:right w:val="single" w:sz="18" w:space="0" w:color="FFFFFF" w:themeColor="background1"/>
            </w:tcBorders>
          </w:tcPr>
          <w:p w:rsidR="009F28F8" w:rsidRPr="00AA58CA" w:rsidRDefault="009F28F8" w:rsidP="00C64204">
            <w:pPr>
              <w:tabs>
                <w:tab w:val="left" w:pos="9781"/>
              </w:tabs>
              <w:jc w:val="right"/>
            </w:pPr>
          </w:p>
        </w:tc>
        <w:tc>
          <w:tcPr>
            <w:tcW w:w="785" w:type="dxa"/>
            <w:gridSpan w:val="3"/>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Pr="00EB2694" w:rsidRDefault="009F28F8" w:rsidP="00C64204">
            <w:pPr>
              <w:tabs>
                <w:tab w:val="left" w:pos="9781"/>
              </w:tabs>
              <w:jc w:val="both"/>
              <w:rPr>
                <w:b/>
              </w:rPr>
            </w:pPr>
            <w:r w:rsidRPr="00EB2694">
              <w:rPr>
                <w:b/>
              </w:rPr>
              <w:t>Total Financial Assets</w:t>
            </w:r>
          </w:p>
          <w:p w:rsidR="009F28F8" w:rsidRDefault="009F28F8" w:rsidP="00C64204">
            <w:pPr>
              <w:tabs>
                <w:tab w:val="left" w:pos="9781"/>
              </w:tabs>
              <w:jc w:val="both"/>
            </w:pP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rPr>
                <w:b/>
              </w:rPr>
            </w:pPr>
            <w:r w:rsidRPr="006018C2">
              <w:rPr>
                <w:b/>
              </w:rPr>
              <w:t>3,8</w:t>
            </w:r>
            <w:r>
              <w:rPr>
                <w:b/>
              </w:rPr>
              <w:t>50</w:t>
            </w:r>
            <w:r w:rsidRPr="006018C2">
              <w:rPr>
                <w:b/>
              </w:rPr>
              <w:t>.</w:t>
            </w:r>
            <w:r>
              <w:rPr>
                <w:b/>
              </w:rPr>
              <w:t>8</w:t>
            </w:r>
          </w:p>
        </w:tc>
        <w:tc>
          <w:tcPr>
            <w:tcW w:w="283" w:type="dxa"/>
            <w:tcBorders>
              <w:right w:val="single" w:sz="18" w:space="0" w:color="FFFFFF" w:themeColor="background1"/>
            </w:tcBorders>
          </w:tcPr>
          <w:p w:rsidR="009F28F8" w:rsidRPr="006018C2" w:rsidRDefault="009F28F8" w:rsidP="00C64204">
            <w:pPr>
              <w:tabs>
                <w:tab w:val="left" w:pos="9781"/>
              </w:tabs>
              <w:jc w:val="right"/>
              <w:rPr>
                <w:b/>
              </w:rPr>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rPr>
                <w:b/>
              </w:rPr>
            </w:pPr>
            <w:r>
              <w:rPr>
                <w:b/>
              </w:rPr>
              <w:t>150.1</w:t>
            </w:r>
          </w:p>
        </w:tc>
        <w:tc>
          <w:tcPr>
            <w:tcW w:w="850" w:type="dxa"/>
            <w:gridSpan w:val="3"/>
            <w:tcBorders>
              <w:right w:val="single" w:sz="18" w:space="0" w:color="FFFFFF" w:themeColor="background1"/>
            </w:tcBorders>
          </w:tcPr>
          <w:p w:rsidR="009F28F8" w:rsidRPr="006018C2" w:rsidRDefault="009F28F8" w:rsidP="00C64204">
            <w:pPr>
              <w:tabs>
                <w:tab w:val="left" w:pos="9781"/>
              </w:tabs>
              <w:jc w:val="right"/>
              <w:rPr>
                <w:b/>
              </w:rPr>
            </w:pPr>
          </w:p>
        </w:tc>
        <w:tc>
          <w:tcPr>
            <w:tcW w:w="785" w:type="dxa"/>
            <w:gridSpan w:val="3"/>
            <w:tcBorders>
              <w:left w:val="single" w:sz="18" w:space="0" w:color="FFFFFF" w:themeColor="background1"/>
            </w:tcBorders>
          </w:tcPr>
          <w:p w:rsidR="00897DBF" w:rsidRDefault="009F28F8">
            <w:pPr>
              <w:tabs>
                <w:tab w:val="left" w:pos="9781"/>
              </w:tabs>
              <w:ind w:right="-108"/>
              <w:jc w:val="right"/>
              <w:rPr>
                <w:b/>
              </w:rPr>
            </w:pPr>
            <w:r>
              <w:rPr>
                <w:b/>
              </w:rPr>
              <w:t>-</w:t>
            </w:r>
          </w:p>
        </w:tc>
      </w:tr>
      <w:tr w:rsidR="003444A0" w:rsidRPr="00AA58CA" w:rsidTr="00FA512D">
        <w:trPr>
          <w:gridAfter w:val="3"/>
          <w:wAfter w:w="775" w:type="dxa"/>
          <w:trHeight w:val="170"/>
        </w:trPr>
        <w:tc>
          <w:tcPr>
            <w:tcW w:w="4031" w:type="dxa"/>
            <w:gridSpan w:val="2"/>
          </w:tcPr>
          <w:p w:rsidR="003444A0" w:rsidRPr="00EB2694" w:rsidRDefault="003444A0" w:rsidP="00C64204">
            <w:pPr>
              <w:tabs>
                <w:tab w:val="left" w:pos="9781"/>
              </w:tabs>
              <w:jc w:val="both"/>
              <w:rPr>
                <w:b/>
              </w:rPr>
            </w:pPr>
          </w:p>
        </w:tc>
        <w:tc>
          <w:tcPr>
            <w:tcW w:w="236" w:type="dxa"/>
            <w:tcBorders>
              <w:right w:val="single" w:sz="18" w:space="0" w:color="FFFFFF" w:themeColor="background1"/>
            </w:tcBorders>
          </w:tcPr>
          <w:p w:rsidR="003444A0" w:rsidRDefault="003444A0" w:rsidP="00C64204">
            <w:pPr>
              <w:tabs>
                <w:tab w:val="left" w:pos="9781"/>
              </w:tabs>
              <w:jc w:val="right"/>
            </w:pPr>
          </w:p>
        </w:tc>
        <w:tc>
          <w:tcPr>
            <w:tcW w:w="1544" w:type="dxa"/>
            <w:tcBorders>
              <w:left w:val="single" w:sz="18" w:space="0" w:color="FFFFFF" w:themeColor="background1"/>
            </w:tcBorders>
          </w:tcPr>
          <w:p w:rsidR="003444A0" w:rsidRPr="006018C2" w:rsidRDefault="003444A0">
            <w:pPr>
              <w:tabs>
                <w:tab w:val="left" w:pos="-407"/>
                <w:tab w:val="left" w:pos="9781"/>
              </w:tabs>
              <w:ind w:right="458"/>
              <w:jc w:val="right"/>
              <w:rPr>
                <w:b/>
              </w:rPr>
            </w:pPr>
          </w:p>
        </w:tc>
        <w:tc>
          <w:tcPr>
            <w:tcW w:w="283" w:type="dxa"/>
            <w:tcBorders>
              <w:right w:val="single" w:sz="18" w:space="0" w:color="FFFFFF" w:themeColor="background1"/>
            </w:tcBorders>
          </w:tcPr>
          <w:p w:rsidR="003444A0" w:rsidRPr="006018C2" w:rsidRDefault="003444A0" w:rsidP="00C64204">
            <w:pPr>
              <w:tabs>
                <w:tab w:val="left" w:pos="9781"/>
              </w:tabs>
              <w:jc w:val="right"/>
              <w:rPr>
                <w:b/>
              </w:rPr>
            </w:pPr>
          </w:p>
        </w:tc>
        <w:tc>
          <w:tcPr>
            <w:tcW w:w="1419" w:type="dxa"/>
            <w:gridSpan w:val="3"/>
            <w:tcBorders>
              <w:left w:val="single" w:sz="18" w:space="0" w:color="FFFFFF" w:themeColor="background1"/>
            </w:tcBorders>
          </w:tcPr>
          <w:p w:rsidR="003444A0" w:rsidRDefault="003444A0">
            <w:pPr>
              <w:tabs>
                <w:tab w:val="left" w:pos="1267"/>
                <w:tab w:val="left" w:pos="9781"/>
              </w:tabs>
              <w:ind w:right="383"/>
              <w:jc w:val="right"/>
              <w:rPr>
                <w:b/>
              </w:rPr>
            </w:pPr>
          </w:p>
        </w:tc>
        <w:tc>
          <w:tcPr>
            <w:tcW w:w="850" w:type="dxa"/>
            <w:gridSpan w:val="3"/>
            <w:tcBorders>
              <w:right w:val="single" w:sz="18" w:space="0" w:color="FFFFFF" w:themeColor="background1"/>
            </w:tcBorders>
          </w:tcPr>
          <w:p w:rsidR="003444A0" w:rsidRPr="006018C2" w:rsidRDefault="003444A0" w:rsidP="00C64204">
            <w:pPr>
              <w:tabs>
                <w:tab w:val="left" w:pos="9781"/>
              </w:tabs>
              <w:jc w:val="right"/>
              <w:rPr>
                <w:b/>
              </w:rPr>
            </w:pPr>
          </w:p>
        </w:tc>
        <w:tc>
          <w:tcPr>
            <w:tcW w:w="785" w:type="dxa"/>
            <w:gridSpan w:val="3"/>
            <w:tcBorders>
              <w:left w:val="single" w:sz="18" w:space="0" w:color="FFFFFF" w:themeColor="background1"/>
            </w:tcBorders>
          </w:tcPr>
          <w:p w:rsidR="003444A0" w:rsidRDefault="003444A0">
            <w:pPr>
              <w:tabs>
                <w:tab w:val="left" w:pos="9781"/>
              </w:tabs>
              <w:ind w:right="-108"/>
              <w:jc w:val="right"/>
              <w:rPr>
                <w:b/>
              </w:rPr>
            </w:pPr>
          </w:p>
        </w:tc>
      </w:tr>
      <w:tr w:rsidR="009F28F8" w:rsidRPr="00AA58CA" w:rsidTr="00FA512D">
        <w:trPr>
          <w:gridAfter w:val="2"/>
          <w:wAfter w:w="661" w:type="dxa"/>
          <w:trHeight w:val="170"/>
        </w:trPr>
        <w:tc>
          <w:tcPr>
            <w:tcW w:w="4031" w:type="dxa"/>
            <w:gridSpan w:val="2"/>
          </w:tcPr>
          <w:p w:rsidR="009F28F8" w:rsidRPr="00EB2694" w:rsidRDefault="009F28F8" w:rsidP="00C64204">
            <w:pPr>
              <w:tabs>
                <w:tab w:val="left" w:pos="9781"/>
              </w:tabs>
              <w:jc w:val="both"/>
            </w:pPr>
            <w:r>
              <w:rPr>
                <w:b/>
              </w:rPr>
              <w:t>Financial liabilities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897DBF">
            <w:pPr>
              <w:tabs>
                <w:tab w:val="left" w:pos="-407"/>
                <w:tab w:val="left" w:pos="9781"/>
              </w:tabs>
              <w:ind w:right="458"/>
              <w:jc w:val="right"/>
            </w:pP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897DBF">
            <w:pPr>
              <w:tabs>
                <w:tab w:val="left" w:pos="1267"/>
                <w:tab w:val="left" w:pos="9781"/>
              </w:tabs>
              <w:ind w:right="383"/>
              <w:jc w:val="right"/>
            </w:pPr>
          </w:p>
        </w:tc>
        <w:tc>
          <w:tcPr>
            <w:tcW w:w="555" w:type="dxa"/>
            <w:tcBorders>
              <w:right w:val="single" w:sz="18" w:space="0" w:color="FFFFFF" w:themeColor="background1"/>
            </w:tcBorders>
          </w:tcPr>
          <w:p w:rsidR="009F28F8" w:rsidRPr="00AA58CA" w:rsidRDefault="009F28F8" w:rsidP="00C64204">
            <w:pPr>
              <w:tabs>
                <w:tab w:val="left" w:pos="9781"/>
              </w:tabs>
              <w:jc w:val="right"/>
            </w:pPr>
          </w:p>
        </w:tc>
        <w:tc>
          <w:tcPr>
            <w:tcW w:w="1194" w:type="dxa"/>
            <w:gridSpan w:val="6"/>
            <w:tcBorders>
              <w:left w:val="single" w:sz="18" w:space="0" w:color="FFFFFF" w:themeColor="background1"/>
            </w:tcBorders>
          </w:tcPr>
          <w:p w:rsidR="00897DBF" w:rsidRDefault="00897DBF">
            <w:pPr>
              <w:tabs>
                <w:tab w:val="left" w:pos="9781"/>
              </w:tabs>
              <w:ind w:right="-108"/>
              <w:jc w:val="right"/>
            </w:pP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rPr>
                <w:b/>
              </w:rPr>
            </w:pPr>
            <w:r>
              <w:t>Derivative contracts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1.6</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555" w:type="dxa"/>
            <w:tcBorders>
              <w:right w:val="single" w:sz="18" w:space="0" w:color="FFFFFF" w:themeColor="background1"/>
            </w:tcBorders>
          </w:tcPr>
          <w:p w:rsidR="009F28F8" w:rsidRPr="00AA58CA" w:rsidRDefault="009F28F8" w:rsidP="00C64204">
            <w:pPr>
              <w:tabs>
                <w:tab w:val="left" w:pos="9781"/>
              </w:tabs>
              <w:jc w:val="right"/>
            </w:pPr>
          </w:p>
        </w:tc>
        <w:tc>
          <w:tcPr>
            <w:tcW w:w="1080" w:type="dxa"/>
            <w:gridSpan w:val="5"/>
            <w:tcBorders>
              <w:left w:val="single" w:sz="18" w:space="0" w:color="FFFFFF" w:themeColor="background1"/>
            </w:tcBorders>
          </w:tcPr>
          <w:p w:rsidR="00897DBF" w:rsidRDefault="009F28F8">
            <w:pPr>
              <w:tabs>
                <w:tab w:val="left" w:pos="9781"/>
              </w:tabs>
              <w:ind w:right="-108"/>
              <w:jc w:val="right"/>
            </w:pPr>
            <w:r>
              <w:t>-</w:t>
            </w:r>
          </w:p>
        </w:tc>
      </w:tr>
      <w:tr w:rsidR="009F28F8" w:rsidRPr="00AA58CA" w:rsidTr="00FA512D">
        <w:trPr>
          <w:gridAfter w:val="3"/>
          <w:wAfter w:w="775" w:type="dxa"/>
          <w:trHeight w:val="170"/>
        </w:trPr>
        <w:tc>
          <w:tcPr>
            <w:tcW w:w="4031" w:type="dxa"/>
            <w:gridSpan w:val="2"/>
          </w:tcPr>
          <w:p w:rsidR="009F28F8" w:rsidRDefault="009F28F8" w:rsidP="00C64204">
            <w:pPr>
              <w:tabs>
                <w:tab w:val="left" w:pos="9781"/>
              </w:tabs>
              <w:jc w:val="both"/>
            </w:pPr>
            <w:r>
              <w:t>Creditors</w:t>
            </w:r>
          </w:p>
        </w:tc>
        <w:tc>
          <w:tcPr>
            <w:tcW w:w="236" w:type="dxa"/>
            <w:tcBorders>
              <w:right w:val="single" w:sz="18" w:space="0" w:color="FFFFFF" w:themeColor="background1"/>
            </w:tcBorders>
          </w:tcPr>
          <w:p w:rsidR="008E1E86" w:rsidRDefault="008E1E86" w:rsidP="00C64204">
            <w:pPr>
              <w:tabs>
                <w:tab w:val="left" w:pos="9781"/>
              </w:tabs>
              <w:jc w:val="right"/>
            </w:pPr>
          </w:p>
        </w:tc>
        <w:tc>
          <w:tcPr>
            <w:tcW w:w="1544" w:type="dxa"/>
            <w:tcBorders>
              <w:left w:val="single" w:sz="18" w:space="0" w:color="FFFFFF" w:themeColor="background1"/>
            </w:tcBorders>
          </w:tcPr>
          <w:p w:rsidR="00897DBF" w:rsidRDefault="009F28F8">
            <w:pPr>
              <w:tabs>
                <w:tab w:val="left" w:pos="-407"/>
                <w:tab w:val="left" w:pos="9781"/>
              </w:tabs>
              <w:ind w:right="458"/>
              <w:jc w:val="right"/>
            </w:pPr>
            <w:r>
              <w:t>-</w:t>
            </w:r>
          </w:p>
        </w:tc>
        <w:tc>
          <w:tcPr>
            <w:tcW w:w="283" w:type="dxa"/>
            <w:tcBorders>
              <w:right w:val="single" w:sz="18" w:space="0" w:color="FFFFFF" w:themeColor="background1"/>
            </w:tcBorders>
          </w:tcPr>
          <w:p w:rsidR="009F28F8" w:rsidRPr="00AA58CA" w:rsidRDefault="009F28F8" w:rsidP="00C64204">
            <w:pPr>
              <w:tabs>
                <w:tab w:val="left" w:pos="9781"/>
              </w:tabs>
              <w:jc w:val="right"/>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pPr>
            <w:r>
              <w:t>-</w:t>
            </w:r>
          </w:p>
        </w:tc>
        <w:tc>
          <w:tcPr>
            <w:tcW w:w="555" w:type="dxa"/>
            <w:tcBorders>
              <w:right w:val="single" w:sz="18" w:space="0" w:color="FFFFFF" w:themeColor="background1"/>
            </w:tcBorders>
          </w:tcPr>
          <w:p w:rsidR="009F28F8" w:rsidRPr="00AA58CA" w:rsidRDefault="009F28F8" w:rsidP="00C64204">
            <w:pPr>
              <w:tabs>
                <w:tab w:val="left" w:pos="9781"/>
              </w:tabs>
              <w:jc w:val="right"/>
            </w:pPr>
          </w:p>
        </w:tc>
        <w:tc>
          <w:tcPr>
            <w:tcW w:w="1080" w:type="dxa"/>
            <w:gridSpan w:val="5"/>
            <w:tcBorders>
              <w:left w:val="single" w:sz="18" w:space="0" w:color="FFFFFF" w:themeColor="background1"/>
            </w:tcBorders>
          </w:tcPr>
          <w:p w:rsidR="00897DBF" w:rsidRDefault="009F28F8">
            <w:pPr>
              <w:tabs>
                <w:tab w:val="left" w:pos="9781"/>
              </w:tabs>
              <w:ind w:right="-108"/>
              <w:jc w:val="right"/>
            </w:pPr>
            <w:r>
              <w:t>3.2</w:t>
            </w:r>
          </w:p>
        </w:tc>
      </w:tr>
      <w:tr w:rsidR="009F28F8" w:rsidRPr="006018C2" w:rsidTr="00FA512D">
        <w:trPr>
          <w:gridAfter w:val="3"/>
          <w:wAfter w:w="775" w:type="dxa"/>
          <w:trHeight w:val="170"/>
        </w:trPr>
        <w:tc>
          <w:tcPr>
            <w:tcW w:w="4031" w:type="dxa"/>
            <w:gridSpan w:val="2"/>
          </w:tcPr>
          <w:p w:rsidR="009F28F8" w:rsidRPr="006018C2" w:rsidRDefault="009F28F8" w:rsidP="00C64204">
            <w:pPr>
              <w:tabs>
                <w:tab w:val="left" w:pos="9781"/>
              </w:tabs>
              <w:jc w:val="both"/>
              <w:rPr>
                <w:b/>
              </w:rPr>
            </w:pPr>
            <w:r w:rsidRPr="006018C2">
              <w:rPr>
                <w:b/>
              </w:rPr>
              <w:t>Total Financial Liabilities</w:t>
            </w:r>
          </w:p>
        </w:tc>
        <w:tc>
          <w:tcPr>
            <w:tcW w:w="236" w:type="dxa"/>
            <w:tcBorders>
              <w:right w:val="single" w:sz="18" w:space="0" w:color="FFFFFF" w:themeColor="background1"/>
            </w:tcBorders>
          </w:tcPr>
          <w:p w:rsidR="008E1E86" w:rsidRDefault="008E1E86" w:rsidP="00C64204">
            <w:pPr>
              <w:tabs>
                <w:tab w:val="left" w:pos="9781"/>
              </w:tabs>
              <w:jc w:val="right"/>
              <w:rPr>
                <w:b/>
              </w:rPr>
            </w:pPr>
          </w:p>
        </w:tc>
        <w:tc>
          <w:tcPr>
            <w:tcW w:w="1544" w:type="dxa"/>
            <w:tcBorders>
              <w:left w:val="single" w:sz="18" w:space="0" w:color="FFFFFF" w:themeColor="background1"/>
            </w:tcBorders>
          </w:tcPr>
          <w:p w:rsidR="00897DBF" w:rsidRDefault="009F28F8">
            <w:pPr>
              <w:tabs>
                <w:tab w:val="left" w:pos="-407"/>
                <w:tab w:val="left" w:pos="9781"/>
              </w:tabs>
              <w:ind w:right="458"/>
              <w:jc w:val="right"/>
              <w:rPr>
                <w:b/>
              </w:rPr>
            </w:pPr>
            <w:r>
              <w:rPr>
                <w:b/>
              </w:rPr>
              <w:t>1.6</w:t>
            </w:r>
          </w:p>
        </w:tc>
        <w:tc>
          <w:tcPr>
            <w:tcW w:w="283" w:type="dxa"/>
            <w:tcBorders>
              <w:right w:val="single" w:sz="18" w:space="0" w:color="FFFFFF" w:themeColor="background1"/>
            </w:tcBorders>
          </w:tcPr>
          <w:p w:rsidR="009F28F8" w:rsidRPr="006018C2" w:rsidRDefault="009F28F8" w:rsidP="00C64204">
            <w:pPr>
              <w:tabs>
                <w:tab w:val="left" w:pos="9781"/>
              </w:tabs>
              <w:jc w:val="right"/>
              <w:rPr>
                <w:b/>
              </w:rPr>
            </w:pPr>
          </w:p>
        </w:tc>
        <w:tc>
          <w:tcPr>
            <w:tcW w:w="1419" w:type="dxa"/>
            <w:gridSpan w:val="3"/>
            <w:tcBorders>
              <w:left w:val="single" w:sz="18" w:space="0" w:color="FFFFFF" w:themeColor="background1"/>
            </w:tcBorders>
          </w:tcPr>
          <w:p w:rsidR="00897DBF" w:rsidRDefault="009F28F8">
            <w:pPr>
              <w:tabs>
                <w:tab w:val="left" w:pos="1267"/>
                <w:tab w:val="left" w:pos="9781"/>
              </w:tabs>
              <w:ind w:right="383"/>
              <w:jc w:val="right"/>
              <w:rPr>
                <w:b/>
              </w:rPr>
            </w:pPr>
            <w:r>
              <w:rPr>
                <w:b/>
              </w:rPr>
              <w:t>-</w:t>
            </w:r>
          </w:p>
        </w:tc>
        <w:tc>
          <w:tcPr>
            <w:tcW w:w="555" w:type="dxa"/>
            <w:tcBorders>
              <w:right w:val="single" w:sz="18" w:space="0" w:color="FFFFFF" w:themeColor="background1"/>
            </w:tcBorders>
          </w:tcPr>
          <w:p w:rsidR="009F28F8" w:rsidRPr="006018C2" w:rsidRDefault="009F28F8" w:rsidP="00C64204">
            <w:pPr>
              <w:tabs>
                <w:tab w:val="left" w:pos="9781"/>
              </w:tabs>
              <w:jc w:val="right"/>
              <w:rPr>
                <w:b/>
              </w:rPr>
            </w:pPr>
          </w:p>
        </w:tc>
        <w:tc>
          <w:tcPr>
            <w:tcW w:w="1080" w:type="dxa"/>
            <w:gridSpan w:val="5"/>
            <w:tcBorders>
              <w:left w:val="single" w:sz="18" w:space="0" w:color="FFFFFF" w:themeColor="background1"/>
            </w:tcBorders>
          </w:tcPr>
          <w:p w:rsidR="00897DBF" w:rsidRDefault="009F28F8">
            <w:pPr>
              <w:tabs>
                <w:tab w:val="left" w:pos="9781"/>
              </w:tabs>
              <w:ind w:right="-108"/>
              <w:jc w:val="right"/>
              <w:rPr>
                <w:b/>
              </w:rPr>
            </w:pPr>
            <w:r>
              <w:rPr>
                <w:b/>
              </w:rPr>
              <w:t>3</w:t>
            </w:r>
            <w:r w:rsidRPr="006018C2">
              <w:rPr>
                <w:b/>
              </w:rPr>
              <w:t>.2</w:t>
            </w:r>
          </w:p>
        </w:tc>
      </w:tr>
      <w:tr w:rsidR="00512263" w:rsidRPr="006018C2" w:rsidTr="00FA512D">
        <w:trPr>
          <w:gridAfter w:val="3"/>
          <w:wAfter w:w="775" w:type="dxa"/>
          <w:trHeight w:val="170"/>
        </w:trPr>
        <w:tc>
          <w:tcPr>
            <w:tcW w:w="4031" w:type="dxa"/>
            <w:gridSpan w:val="2"/>
          </w:tcPr>
          <w:p w:rsidR="00512263" w:rsidRPr="006018C2" w:rsidRDefault="00512263" w:rsidP="00C64204">
            <w:pPr>
              <w:tabs>
                <w:tab w:val="left" w:pos="9781"/>
              </w:tabs>
              <w:jc w:val="both"/>
              <w:rPr>
                <w:b/>
              </w:rPr>
            </w:pPr>
          </w:p>
        </w:tc>
        <w:tc>
          <w:tcPr>
            <w:tcW w:w="236" w:type="dxa"/>
            <w:tcBorders>
              <w:right w:val="single" w:sz="18" w:space="0" w:color="FFFFFF" w:themeColor="background1"/>
            </w:tcBorders>
          </w:tcPr>
          <w:p w:rsidR="00512263" w:rsidRDefault="00512263" w:rsidP="00C64204">
            <w:pPr>
              <w:tabs>
                <w:tab w:val="left" w:pos="9781"/>
              </w:tabs>
              <w:jc w:val="right"/>
              <w:rPr>
                <w:b/>
              </w:rPr>
            </w:pPr>
          </w:p>
        </w:tc>
        <w:tc>
          <w:tcPr>
            <w:tcW w:w="1544" w:type="dxa"/>
            <w:tcBorders>
              <w:left w:val="single" w:sz="18" w:space="0" w:color="FFFFFF" w:themeColor="background1"/>
            </w:tcBorders>
          </w:tcPr>
          <w:p w:rsidR="00512263" w:rsidRDefault="00512263">
            <w:pPr>
              <w:tabs>
                <w:tab w:val="left" w:pos="-407"/>
                <w:tab w:val="left" w:pos="9781"/>
              </w:tabs>
              <w:ind w:right="458"/>
              <w:jc w:val="right"/>
              <w:rPr>
                <w:b/>
              </w:rPr>
            </w:pPr>
          </w:p>
        </w:tc>
        <w:tc>
          <w:tcPr>
            <w:tcW w:w="283" w:type="dxa"/>
            <w:tcBorders>
              <w:right w:val="single" w:sz="18" w:space="0" w:color="FFFFFF" w:themeColor="background1"/>
            </w:tcBorders>
          </w:tcPr>
          <w:p w:rsidR="00512263" w:rsidRPr="006018C2" w:rsidRDefault="00512263" w:rsidP="00C64204">
            <w:pPr>
              <w:tabs>
                <w:tab w:val="left" w:pos="9781"/>
              </w:tabs>
              <w:jc w:val="right"/>
              <w:rPr>
                <w:b/>
              </w:rPr>
            </w:pPr>
          </w:p>
        </w:tc>
        <w:tc>
          <w:tcPr>
            <w:tcW w:w="1419" w:type="dxa"/>
            <w:gridSpan w:val="3"/>
            <w:tcBorders>
              <w:left w:val="single" w:sz="18" w:space="0" w:color="FFFFFF" w:themeColor="background1"/>
            </w:tcBorders>
          </w:tcPr>
          <w:p w:rsidR="00512263" w:rsidRDefault="00512263">
            <w:pPr>
              <w:tabs>
                <w:tab w:val="left" w:pos="1267"/>
                <w:tab w:val="left" w:pos="9781"/>
              </w:tabs>
              <w:ind w:right="383"/>
              <w:jc w:val="right"/>
              <w:rPr>
                <w:b/>
              </w:rPr>
            </w:pPr>
          </w:p>
        </w:tc>
        <w:tc>
          <w:tcPr>
            <w:tcW w:w="555" w:type="dxa"/>
            <w:tcBorders>
              <w:right w:val="single" w:sz="18" w:space="0" w:color="FFFFFF" w:themeColor="background1"/>
            </w:tcBorders>
          </w:tcPr>
          <w:p w:rsidR="00512263" w:rsidRPr="006018C2" w:rsidRDefault="00512263" w:rsidP="00C64204">
            <w:pPr>
              <w:tabs>
                <w:tab w:val="left" w:pos="9781"/>
              </w:tabs>
              <w:jc w:val="right"/>
              <w:rPr>
                <w:b/>
              </w:rPr>
            </w:pPr>
          </w:p>
        </w:tc>
        <w:tc>
          <w:tcPr>
            <w:tcW w:w="1080" w:type="dxa"/>
            <w:gridSpan w:val="5"/>
            <w:tcBorders>
              <w:left w:val="single" w:sz="18" w:space="0" w:color="FFFFFF" w:themeColor="background1"/>
            </w:tcBorders>
          </w:tcPr>
          <w:p w:rsidR="00512263" w:rsidRDefault="00512263">
            <w:pPr>
              <w:tabs>
                <w:tab w:val="left" w:pos="9781"/>
              </w:tabs>
              <w:ind w:right="-108"/>
              <w:jc w:val="right"/>
              <w:rPr>
                <w:b/>
              </w:rPr>
            </w:pPr>
          </w:p>
        </w:tc>
      </w:tr>
    </w:tbl>
    <w:p w:rsidR="009F28F8" w:rsidRDefault="009F28F8" w:rsidP="00C64204">
      <w:pPr>
        <w:tabs>
          <w:tab w:val="left" w:pos="9781"/>
        </w:tabs>
        <w:spacing w:after="120"/>
        <w:rPr>
          <w:b/>
          <w:szCs w:val="24"/>
        </w:rPr>
      </w:pPr>
    </w:p>
    <w:p w:rsidR="004B380D" w:rsidRDefault="004B380D" w:rsidP="00C64204">
      <w:pPr>
        <w:tabs>
          <w:tab w:val="left" w:pos="9781"/>
        </w:tabs>
        <w:spacing w:after="120"/>
        <w:rPr>
          <w:b/>
          <w:szCs w:val="24"/>
        </w:rPr>
      </w:pPr>
    </w:p>
    <w:p w:rsidR="00897DBF" w:rsidRDefault="006E1A40">
      <w:pPr>
        <w:pStyle w:val="ListParagraph"/>
        <w:numPr>
          <w:ilvl w:val="0"/>
          <w:numId w:val="2"/>
        </w:numPr>
        <w:rPr>
          <w:rFonts w:cs="Arial"/>
          <w:b/>
          <w:bCs/>
          <w:color w:val="000000"/>
        </w:rPr>
      </w:pPr>
      <w:r w:rsidRPr="007413EA">
        <w:rPr>
          <w:rFonts w:cs="Arial"/>
          <w:b/>
          <w:bCs/>
          <w:color w:val="000000"/>
        </w:rPr>
        <w:t>Net gains and losses on financial instruments</w:t>
      </w:r>
    </w:p>
    <w:p w:rsidR="006E1A40" w:rsidRDefault="006E1A40" w:rsidP="006E1A40">
      <w:pPr>
        <w:pStyle w:val="ListParagraph"/>
        <w:rPr>
          <w:rFonts w:cs="Arial"/>
          <w:b/>
          <w:bCs/>
          <w:color w:val="000000"/>
        </w:rPr>
      </w:pPr>
    </w:p>
    <w:tbl>
      <w:tblPr>
        <w:tblStyle w:val="TableGrid"/>
        <w:tblW w:w="0" w:type="auto"/>
        <w:tblInd w:w="720" w:type="dxa"/>
        <w:tblLook w:val="04A0"/>
      </w:tblPr>
      <w:tblGrid>
        <w:gridCol w:w="4491"/>
        <w:gridCol w:w="2127"/>
        <w:gridCol w:w="1701"/>
      </w:tblGrid>
      <w:tr w:rsidR="006E1A40" w:rsidTr="006E1A40">
        <w:tc>
          <w:tcPr>
            <w:tcW w:w="4491" w:type="dxa"/>
            <w:tcBorders>
              <w:top w:val="nil"/>
              <w:left w:val="nil"/>
              <w:bottom w:val="nil"/>
              <w:right w:val="nil"/>
            </w:tcBorders>
          </w:tcPr>
          <w:p w:rsidR="006E1A40" w:rsidRPr="00FB0F1F" w:rsidRDefault="006E1A40" w:rsidP="006E1A40">
            <w:pPr>
              <w:pStyle w:val="ListParagraph"/>
              <w:ind w:left="0"/>
              <w:rPr>
                <w:rFonts w:cs="Arial"/>
                <w:b/>
                <w:bCs/>
                <w:color w:val="000000"/>
              </w:rPr>
            </w:pPr>
          </w:p>
        </w:tc>
        <w:tc>
          <w:tcPr>
            <w:tcW w:w="2127" w:type="dxa"/>
            <w:tcBorders>
              <w:top w:val="nil"/>
              <w:left w:val="nil"/>
              <w:bottom w:val="nil"/>
              <w:right w:val="nil"/>
            </w:tcBorders>
            <w:vAlign w:val="center"/>
          </w:tcPr>
          <w:p w:rsidR="00897DBF" w:rsidRDefault="006E1A40">
            <w:pPr>
              <w:pStyle w:val="ListParagraph"/>
              <w:ind w:left="0" w:right="743"/>
              <w:jc w:val="right"/>
              <w:rPr>
                <w:rFonts w:cs="Arial"/>
                <w:b/>
                <w:bCs/>
                <w:color w:val="000000"/>
              </w:rPr>
            </w:pPr>
            <w:r>
              <w:rPr>
                <w:rFonts w:cs="Arial"/>
                <w:b/>
                <w:bCs/>
                <w:color w:val="000000"/>
              </w:rPr>
              <w:t>2013</w:t>
            </w:r>
          </w:p>
        </w:tc>
        <w:tc>
          <w:tcPr>
            <w:tcW w:w="1701" w:type="dxa"/>
            <w:tcBorders>
              <w:top w:val="nil"/>
              <w:left w:val="nil"/>
              <w:bottom w:val="nil"/>
              <w:right w:val="nil"/>
            </w:tcBorders>
          </w:tcPr>
          <w:p w:rsidR="00897DBF" w:rsidRDefault="006E1A40">
            <w:pPr>
              <w:pStyle w:val="ListParagraph"/>
              <w:ind w:left="0" w:right="176"/>
              <w:jc w:val="right"/>
              <w:rPr>
                <w:rFonts w:cs="Arial"/>
                <w:b/>
                <w:bCs/>
                <w:color w:val="000000"/>
              </w:rPr>
            </w:pPr>
            <w:r>
              <w:rPr>
                <w:rFonts w:cs="Arial"/>
                <w:b/>
                <w:bCs/>
                <w:color w:val="000000"/>
              </w:rPr>
              <w:t>2012</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
                <w:bCs/>
                <w:color w:val="000000"/>
              </w:rPr>
            </w:pPr>
          </w:p>
        </w:tc>
        <w:tc>
          <w:tcPr>
            <w:tcW w:w="2127" w:type="dxa"/>
            <w:vAlign w:val="center"/>
          </w:tcPr>
          <w:p w:rsidR="00897DBF" w:rsidRDefault="006E1A40">
            <w:pPr>
              <w:pStyle w:val="ListParagraph"/>
              <w:ind w:left="0" w:right="743"/>
              <w:jc w:val="right"/>
              <w:rPr>
                <w:rFonts w:cs="Arial"/>
                <w:b/>
                <w:bCs/>
                <w:color w:val="000000"/>
              </w:rPr>
            </w:pPr>
            <w:r w:rsidRPr="00D60D26">
              <w:rPr>
                <w:rFonts w:cs="Arial"/>
                <w:b/>
                <w:bCs/>
                <w:color w:val="000000"/>
              </w:rPr>
              <w:t>£m</w:t>
            </w:r>
          </w:p>
        </w:tc>
        <w:tc>
          <w:tcPr>
            <w:tcW w:w="1701" w:type="dxa"/>
          </w:tcPr>
          <w:p w:rsidR="00897DBF" w:rsidRDefault="006E1A40">
            <w:pPr>
              <w:pStyle w:val="ListParagraph"/>
              <w:ind w:left="0" w:right="176"/>
              <w:jc w:val="right"/>
              <w:rPr>
                <w:rFonts w:cs="Arial"/>
                <w:b/>
                <w:bCs/>
                <w:color w:val="000000"/>
              </w:rPr>
            </w:pPr>
            <w:r w:rsidRPr="00D60D26">
              <w:rPr>
                <w:rFonts w:cs="Arial"/>
                <w:b/>
                <w:bCs/>
                <w:color w:val="000000"/>
              </w:rPr>
              <w:t>£m</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
                <w:bCs/>
                <w:color w:val="000000"/>
              </w:rPr>
            </w:pPr>
            <w:r w:rsidRPr="00D60D26">
              <w:rPr>
                <w:rFonts w:cs="Arial"/>
                <w:b/>
                <w:bCs/>
                <w:color w:val="000000"/>
              </w:rPr>
              <w:t>Financial assets</w:t>
            </w:r>
          </w:p>
        </w:tc>
        <w:tc>
          <w:tcPr>
            <w:tcW w:w="2127" w:type="dxa"/>
            <w:vAlign w:val="center"/>
          </w:tcPr>
          <w:p w:rsidR="00897DBF" w:rsidRDefault="00897DBF">
            <w:pPr>
              <w:pStyle w:val="ListParagraph"/>
              <w:ind w:left="0" w:right="743"/>
              <w:jc w:val="right"/>
              <w:rPr>
                <w:rFonts w:cs="Arial"/>
                <w:bCs/>
                <w:color w:val="000000"/>
              </w:rPr>
            </w:pPr>
          </w:p>
        </w:tc>
        <w:tc>
          <w:tcPr>
            <w:tcW w:w="1701" w:type="dxa"/>
          </w:tcPr>
          <w:p w:rsidR="00897DBF" w:rsidRDefault="00897DBF">
            <w:pPr>
              <w:pStyle w:val="ListParagraph"/>
              <w:ind w:left="0" w:right="176"/>
              <w:jc w:val="right"/>
              <w:rPr>
                <w:rFonts w:cs="Arial"/>
                <w:bCs/>
                <w:color w:val="000000"/>
              </w:rPr>
            </w:pP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Cs/>
                <w:color w:val="000000"/>
              </w:rPr>
            </w:pPr>
            <w:r w:rsidRPr="00D60D26">
              <w:rPr>
                <w:rFonts w:cs="Arial"/>
                <w:bCs/>
                <w:color w:val="000000"/>
              </w:rPr>
              <w:t>Fair value through profit and loss</w:t>
            </w:r>
          </w:p>
        </w:tc>
        <w:tc>
          <w:tcPr>
            <w:tcW w:w="2127" w:type="dxa"/>
            <w:vAlign w:val="center"/>
          </w:tcPr>
          <w:p w:rsidR="00897DBF" w:rsidRDefault="006E1A40">
            <w:pPr>
              <w:pStyle w:val="ListParagraph"/>
              <w:ind w:left="0" w:right="743"/>
              <w:jc w:val="right"/>
              <w:rPr>
                <w:rFonts w:cs="Arial"/>
                <w:bCs/>
                <w:color w:val="000000"/>
              </w:rPr>
            </w:pPr>
            <w:r>
              <w:rPr>
                <w:rFonts w:cs="Arial"/>
                <w:bCs/>
                <w:color w:val="000000"/>
              </w:rPr>
              <w:t>532.6</w:t>
            </w:r>
          </w:p>
        </w:tc>
        <w:tc>
          <w:tcPr>
            <w:tcW w:w="1701" w:type="dxa"/>
          </w:tcPr>
          <w:p w:rsidR="00897DBF" w:rsidRDefault="006E1A40">
            <w:pPr>
              <w:pStyle w:val="ListParagraph"/>
              <w:ind w:left="0" w:right="176"/>
              <w:jc w:val="right"/>
              <w:rPr>
                <w:rFonts w:cs="Arial"/>
                <w:bCs/>
                <w:color w:val="000000"/>
              </w:rPr>
            </w:pPr>
            <w:r>
              <w:rPr>
                <w:rFonts w:cs="Arial"/>
                <w:bCs/>
                <w:color w:val="000000"/>
              </w:rPr>
              <w:t>7.9</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Cs/>
                <w:color w:val="000000"/>
              </w:rPr>
            </w:pPr>
            <w:r w:rsidRPr="00D60D26">
              <w:rPr>
                <w:rFonts w:cs="Arial"/>
                <w:bCs/>
                <w:color w:val="000000"/>
              </w:rPr>
              <w:t>Loans and Receivables</w:t>
            </w:r>
          </w:p>
        </w:tc>
        <w:tc>
          <w:tcPr>
            <w:tcW w:w="2127" w:type="dxa"/>
            <w:vAlign w:val="center"/>
          </w:tcPr>
          <w:p w:rsidR="00897DBF" w:rsidRDefault="006E1A40">
            <w:pPr>
              <w:pStyle w:val="ListParagraph"/>
              <w:ind w:left="0" w:right="743"/>
              <w:jc w:val="right"/>
              <w:rPr>
                <w:rFonts w:cs="Arial"/>
                <w:bCs/>
                <w:color w:val="000000"/>
              </w:rPr>
            </w:pPr>
            <w:r>
              <w:rPr>
                <w:rFonts w:cs="Arial"/>
                <w:bCs/>
                <w:color w:val="000000"/>
              </w:rPr>
              <w:t>-</w:t>
            </w:r>
          </w:p>
        </w:tc>
        <w:tc>
          <w:tcPr>
            <w:tcW w:w="1701" w:type="dxa"/>
          </w:tcPr>
          <w:p w:rsidR="00897DBF" w:rsidRDefault="006E1A40">
            <w:pPr>
              <w:pStyle w:val="ListParagraph"/>
              <w:ind w:left="0" w:right="176"/>
              <w:jc w:val="right"/>
              <w:rPr>
                <w:rFonts w:cs="Arial"/>
                <w:bCs/>
                <w:color w:val="000000"/>
              </w:rPr>
            </w:pPr>
            <w:r>
              <w:rPr>
                <w:rFonts w:cs="Arial"/>
                <w:bCs/>
                <w:color w:val="000000"/>
              </w:rPr>
              <w:t>-</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
                <w:bCs/>
                <w:color w:val="000000"/>
              </w:rPr>
            </w:pPr>
            <w:r w:rsidRPr="00D60D26">
              <w:rPr>
                <w:rFonts w:cs="Arial"/>
                <w:b/>
                <w:bCs/>
                <w:color w:val="000000"/>
              </w:rPr>
              <w:t>Financial Liabilities</w:t>
            </w:r>
          </w:p>
        </w:tc>
        <w:tc>
          <w:tcPr>
            <w:tcW w:w="2127" w:type="dxa"/>
            <w:vAlign w:val="center"/>
          </w:tcPr>
          <w:p w:rsidR="00897DBF" w:rsidRDefault="00897DBF">
            <w:pPr>
              <w:pStyle w:val="ListParagraph"/>
              <w:ind w:left="0" w:right="743"/>
              <w:jc w:val="right"/>
              <w:rPr>
                <w:rFonts w:cs="Arial"/>
                <w:bCs/>
                <w:color w:val="000000"/>
              </w:rPr>
            </w:pPr>
          </w:p>
        </w:tc>
        <w:tc>
          <w:tcPr>
            <w:tcW w:w="1701" w:type="dxa"/>
          </w:tcPr>
          <w:p w:rsidR="00897DBF" w:rsidRDefault="00897DBF">
            <w:pPr>
              <w:pStyle w:val="ListParagraph"/>
              <w:ind w:left="0" w:right="176"/>
              <w:jc w:val="right"/>
              <w:rPr>
                <w:rFonts w:cs="Arial"/>
                <w:bCs/>
                <w:color w:val="000000"/>
              </w:rPr>
            </w:pP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Cs/>
                <w:color w:val="000000"/>
              </w:rPr>
            </w:pPr>
            <w:r w:rsidRPr="00D60D26">
              <w:rPr>
                <w:rFonts w:cs="Arial"/>
                <w:bCs/>
                <w:color w:val="000000"/>
              </w:rPr>
              <w:t>Fair value through profit and loss</w:t>
            </w:r>
          </w:p>
        </w:tc>
        <w:tc>
          <w:tcPr>
            <w:tcW w:w="2127" w:type="dxa"/>
            <w:vAlign w:val="center"/>
          </w:tcPr>
          <w:p w:rsidR="00897DBF" w:rsidRDefault="006E1A40">
            <w:pPr>
              <w:pStyle w:val="ListParagraph"/>
              <w:ind w:left="0" w:right="743"/>
              <w:jc w:val="right"/>
              <w:rPr>
                <w:rFonts w:cs="Arial"/>
                <w:bCs/>
                <w:color w:val="000000"/>
              </w:rPr>
            </w:pPr>
            <w:r>
              <w:rPr>
                <w:rFonts w:cs="Arial"/>
                <w:bCs/>
                <w:color w:val="000000"/>
              </w:rPr>
              <w:t>-</w:t>
            </w:r>
          </w:p>
        </w:tc>
        <w:tc>
          <w:tcPr>
            <w:tcW w:w="1701" w:type="dxa"/>
          </w:tcPr>
          <w:p w:rsidR="00897DBF" w:rsidRDefault="006E1A40">
            <w:pPr>
              <w:pStyle w:val="ListParagraph"/>
              <w:ind w:left="0" w:right="176"/>
              <w:jc w:val="right"/>
              <w:rPr>
                <w:rFonts w:cs="Arial"/>
                <w:bCs/>
                <w:color w:val="000000"/>
              </w:rPr>
            </w:pPr>
            <w:r>
              <w:rPr>
                <w:rFonts w:cs="Arial"/>
                <w:bCs/>
                <w:color w:val="000000"/>
              </w:rPr>
              <w:t>-</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Cs/>
                <w:color w:val="000000"/>
              </w:rPr>
            </w:pPr>
            <w:r w:rsidRPr="00D60D26">
              <w:rPr>
                <w:rFonts w:cs="Arial"/>
                <w:bCs/>
                <w:color w:val="000000"/>
              </w:rPr>
              <w:t>Loans and Receivables</w:t>
            </w:r>
          </w:p>
        </w:tc>
        <w:tc>
          <w:tcPr>
            <w:tcW w:w="2127" w:type="dxa"/>
            <w:vAlign w:val="center"/>
          </w:tcPr>
          <w:p w:rsidR="00897DBF" w:rsidRDefault="00897DBF">
            <w:pPr>
              <w:pStyle w:val="ListParagraph"/>
              <w:ind w:left="0" w:right="743"/>
              <w:jc w:val="right"/>
              <w:rPr>
                <w:rFonts w:cs="Arial"/>
                <w:bCs/>
                <w:color w:val="000000"/>
              </w:rPr>
            </w:pPr>
          </w:p>
        </w:tc>
        <w:tc>
          <w:tcPr>
            <w:tcW w:w="1701" w:type="dxa"/>
          </w:tcPr>
          <w:p w:rsidR="00897DBF" w:rsidRDefault="00897DBF">
            <w:pPr>
              <w:pStyle w:val="ListParagraph"/>
              <w:ind w:left="0" w:right="176"/>
              <w:jc w:val="right"/>
              <w:rPr>
                <w:rFonts w:cs="Arial"/>
                <w:bCs/>
                <w:color w:val="000000"/>
              </w:rPr>
            </w:pP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Cs/>
                <w:color w:val="000000"/>
              </w:rPr>
            </w:pPr>
            <w:r w:rsidRPr="00D60D26">
              <w:rPr>
                <w:rFonts w:cs="Arial"/>
                <w:bCs/>
                <w:color w:val="000000"/>
              </w:rPr>
              <w:t>Financial liabilities at amortised cost</w:t>
            </w:r>
          </w:p>
        </w:tc>
        <w:tc>
          <w:tcPr>
            <w:tcW w:w="2127" w:type="dxa"/>
            <w:vAlign w:val="center"/>
          </w:tcPr>
          <w:p w:rsidR="00897DBF" w:rsidRDefault="006E1A40">
            <w:pPr>
              <w:pStyle w:val="ListParagraph"/>
              <w:ind w:left="0" w:right="743"/>
              <w:jc w:val="right"/>
              <w:rPr>
                <w:rFonts w:cs="Arial"/>
                <w:bCs/>
                <w:color w:val="000000"/>
              </w:rPr>
            </w:pPr>
            <w:r>
              <w:rPr>
                <w:rFonts w:cs="Arial"/>
                <w:bCs/>
                <w:color w:val="000000"/>
              </w:rPr>
              <w:t>-</w:t>
            </w:r>
          </w:p>
        </w:tc>
        <w:tc>
          <w:tcPr>
            <w:tcW w:w="1701" w:type="dxa"/>
          </w:tcPr>
          <w:p w:rsidR="00897DBF" w:rsidRDefault="006E1A40">
            <w:pPr>
              <w:pStyle w:val="ListParagraph"/>
              <w:ind w:left="0" w:right="176"/>
              <w:jc w:val="right"/>
              <w:rPr>
                <w:rFonts w:cs="Arial"/>
                <w:bCs/>
                <w:color w:val="000000"/>
              </w:rPr>
            </w:pPr>
            <w:r>
              <w:rPr>
                <w:rFonts w:cs="Arial"/>
                <w:bCs/>
                <w:color w:val="000000"/>
              </w:rPr>
              <w:t>-</w:t>
            </w:r>
          </w:p>
        </w:tc>
      </w:tr>
      <w:tr w:rsidR="006E1A40" w:rsidRPr="00875B23" w:rsidTr="006E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6E1A40" w:rsidRPr="00D60D26" w:rsidRDefault="006E1A40" w:rsidP="006E1A40">
            <w:pPr>
              <w:pStyle w:val="ListParagraph"/>
              <w:ind w:left="0"/>
              <w:rPr>
                <w:rFonts w:cs="Arial"/>
                <w:b/>
                <w:bCs/>
                <w:color w:val="000000"/>
              </w:rPr>
            </w:pPr>
            <w:r w:rsidRPr="00D60D26">
              <w:rPr>
                <w:rFonts w:cs="Arial"/>
                <w:b/>
                <w:bCs/>
                <w:color w:val="000000"/>
              </w:rPr>
              <w:t>Total</w:t>
            </w:r>
          </w:p>
        </w:tc>
        <w:tc>
          <w:tcPr>
            <w:tcW w:w="2127" w:type="dxa"/>
            <w:vAlign w:val="center"/>
          </w:tcPr>
          <w:p w:rsidR="00897DBF" w:rsidRDefault="006E1A40">
            <w:pPr>
              <w:pStyle w:val="ListParagraph"/>
              <w:ind w:left="0" w:right="743"/>
              <w:jc w:val="right"/>
              <w:rPr>
                <w:rFonts w:cs="Arial"/>
                <w:b/>
                <w:bCs/>
                <w:color w:val="000000"/>
              </w:rPr>
            </w:pPr>
            <w:r>
              <w:rPr>
                <w:rFonts w:cs="Arial"/>
                <w:b/>
                <w:bCs/>
                <w:color w:val="000000"/>
              </w:rPr>
              <w:t>532.6</w:t>
            </w:r>
          </w:p>
        </w:tc>
        <w:tc>
          <w:tcPr>
            <w:tcW w:w="1701" w:type="dxa"/>
          </w:tcPr>
          <w:p w:rsidR="00897DBF" w:rsidRDefault="006E1A40">
            <w:pPr>
              <w:pStyle w:val="ListParagraph"/>
              <w:ind w:left="0" w:right="176"/>
              <w:jc w:val="right"/>
              <w:rPr>
                <w:rFonts w:cs="Arial"/>
                <w:b/>
                <w:bCs/>
                <w:color w:val="000000"/>
              </w:rPr>
            </w:pPr>
            <w:r>
              <w:rPr>
                <w:rFonts w:cs="Arial"/>
                <w:b/>
                <w:bCs/>
                <w:color w:val="000000"/>
              </w:rPr>
              <w:t>7.9</w:t>
            </w:r>
          </w:p>
        </w:tc>
      </w:tr>
    </w:tbl>
    <w:p w:rsidR="006E1A40" w:rsidRDefault="006E1A40" w:rsidP="006E1A40">
      <w:pPr>
        <w:pStyle w:val="ListParagraph"/>
        <w:rPr>
          <w:rFonts w:cs="Arial"/>
          <w:b/>
          <w:bCs/>
          <w:color w:val="000000"/>
        </w:rPr>
      </w:pPr>
    </w:p>
    <w:p w:rsidR="006E1A40" w:rsidRDefault="006E1A40" w:rsidP="006E1A40">
      <w:pPr>
        <w:pStyle w:val="ListParagraph"/>
        <w:rPr>
          <w:rFonts w:cs="Arial"/>
          <w:b/>
          <w:bCs/>
          <w:color w:val="000000"/>
        </w:rPr>
      </w:pPr>
    </w:p>
    <w:p w:rsidR="006E1A40" w:rsidRPr="00D5450A" w:rsidRDefault="006E1A40" w:rsidP="006E1A40">
      <w:pPr>
        <w:pStyle w:val="ListParagraph"/>
        <w:rPr>
          <w:rFonts w:cs="Arial"/>
          <w:bCs/>
          <w:color w:val="000000"/>
        </w:rPr>
      </w:pPr>
      <w:r w:rsidRPr="00D5450A">
        <w:rPr>
          <w:rFonts w:cs="Arial"/>
          <w:bCs/>
          <w:color w:val="000000"/>
        </w:rPr>
        <w:t>The increase in net gain resulted by the fund executing a switch from a domestic equities strategy to a global strategy in October 2012.  Since that date, the US Dollar has appreciated significantly agains</w:t>
      </w:r>
      <w:r>
        <w:rPr>
          <w:rFonts w:cs="Arial"/>
          <w:bCs/>
          <w:color w:val="000000"/>
        </w:rPr>
        <w:t xml:space="preserve">t the Pound. This, </w:t>
      </w:r>
      <w:r w:rsidRPr="00D5450A">
        <w:rPr>
          <w:rFonts w:cs="Arial"/>
          <w:bCs/>
          <w:color w:val="000000"/>
        </w:rPr>
        <w:t>along with long term interest rates which fell slightly whilst credit spreads tightened significantly, lead to an increase in the capital values of fixed-rate securities as the discount rates used to v</w:t>
      </w:r>
      <w:r>
        <w:rPr>
          <w:rFonts w:cs="Arial"/>
          <w:bCs/>
          <w:color w:val="000000"/>
        </w:rPr>
        <w:t xml:space="preserve">alue them fell, </w:t>
      </w:r>
      <w:r w:rsidRPr="00D5450A">
        <w:rPr>
          <w:rFonts w:cs="Arial"/>
          <w:bCs/>
          <w:color w:val="000000"/>
        </w:rPr>
        <w:t>contributing to an additional increase in market value</w:t>
      </w:r>
      <w:r>
        <w:rPr>
          <w:rFonts w:cs="Arial"/>
          <w:bCs/>
          <w:color w:val="000000"/>
        </w:rPr>
        <w:t>.</w:t>
      </w:r>
    </w:p>
    <w:p w:rsidR="006E1A40" w:rsidRDefault="006E1A40" w:rsidP="006E1A40">
      <w:pPr>
        <w:pStyle w:val="ListParagraph"/>
        <w:rPr>
          <w:rFonts w:cs="Arial"/>
          <w:b/>
          <w:bCs/>
          <w:color w:val="000000"/>
        </w:rPr>
      </w:pPr>
    </w:p>
    <w:p w:rsidR="00B61F22" w:rsidRDefault="00B61F22" w:rsidP="006E1A40">
      <w:pPr>
        <w:pStyle w:val="ListParagraph"/>
        <w:rPr>
          <w:rFonts w:cs="Arial"/>
          <w:b/>
          <w:bCs/>
          <w:color w:val="000000"/>
        </w:rPr>
      </w:pPr>
    </w:p>
    <w:p w:rsidR="004B380D" w:rsidRDefault="004B380D" w:rsidP="006E1A40">
      <w:pPr>
        <w:pStyle w:val="ListParagraph"/>
        <w:rPr>
          <w:rFonts w:cs="Arial"/>
          <w:b/>
          <w:bCs/>
          <w:color w:val="000000"/>
        </w:rPr>
      </w:pPr>
    </w:p>
    <w:p w:rsidR="00CD72BB" w:rsidRDefault="00CD72BB" w:rsidP="006E1A40">
      <w:pPr>
        <w:pStyle w:val="ListParagraph"/>
        <w:rPr>
          <w:rFonts w:cs="Arial"/>
          <w:b/>
          <w:bCs/>
          <w:color w:val="000000"/>
        </w:rPr>
      </w:pPr>
    </w:p>
    <w:p w:rsidR="003444A0" w:rsidRDefault="003444A0" w:rsidP="006E1A40">
      <w:pPr>
        <w:pStyle w:val="ListParagraph"/>
        <w:rPr>
          <w:rFonts w:cs="Arial"/>
          <w:b/>
          <w:bCs/>
          <w:color w:val="000000"/>
        </w:rPr>
      </w:pPr>
    </w:p>
    <w:p w:rsidR="006E1A40" w:rsidRPr="007413EA" w:rsidRDefault="006E1A40" w:rsidP="006E1A40">
      <w:pPr>
        <w:pStyle w:val="ListParagraph"/>
        <w:numPr>
          <w:ilvl w:val="0"/>
          <w:numId w:val="2"/>
        </w:numPr>
        <w:tabs>
          <w:tab w:val="clear" w:pos="720"/>
          <w:tab w:val="num" w:pos="862"/>
        </w:tabs>
        <w:spacing w:after="120"/>
        <w:ind w:left="862"/>
        <w:rPr>
          <w:b/>
        </w:rPr>
      </w:pPr>
      <w:r w:rsidRPr="007413EA">
        <w:rPr>
          <w:b/>
        </w:rPr>
        <w:t>Financial Instruments – Fair Value of Financial Instruments and Liabilities</w:t>
      </w:r>
    </w:p>
    <w:p w:rsidR="006E1A40" w:rsidRDefault="006E1A40" w:rsidP="006E1A40">
      <w:pPr>
        <w:spacing w:after="120"/>
        <w:ind w:left="720"/>
        <w:rPr>
          <w:szCs w:val="24"/>
        </w:rPr>
      </w:pPr>
      <w:r w:rsidRPr="000637CA">
        <w:rPr>
          <w:szCs w:val="24"/>
        </w:rPr>
        <w:t xml:space="preserve">The following table summarises the carrying values of the financial assets and liabilities presented in the Fund's net asset </w:t>
      </w:r>
      <w:r>
        <w:rPr>
          <w:szCs w:val="24"/>
        </w:rPr>
        <w:t xml:space="preserve">statement.  The fair values </w:t>
      </w:r>
      <w:r w:rsidRPr="000637CA">
        <w:rPr>
          <w:szCs w:val="24"/>
        </w:rPr>
        <w:t>presented in the table are at a specific date and may be significantly different from the amounts which were actually paid or received on the maturity or settlement date.</w:t>
      </w:r>
    </w:p>
    <w:tbl>
      <w:tblPr>
        <w:tblStyle w:val="TableGrid"/>
        <w:tblW w:w="10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7"/>
        <w:gridCol w:w="1701"/>
        <w:gridCol w:w="284"/>
        <w:gridCol w:w="1417"/>
        <w:gridCol w:w="678"/>
        <w:gridCol w:w="740"/>
        <w:gridCol w:w="709"/>
        <w:gridCol w:w="708"/>
        <w:gridCol w:w="709"/>
      </w:tblGrid>
      <w:tr w:rsidR="006E1A40" w:rsidTr="00EE2607">
        <w:trPr>
          <w:gridAfter w:val="1"/>
          <w:wAfter w:w="709" w:type="dxa"/>
        </w:trPr>
        <w:tc>
          <w:tcPr>
            <w:tcW w:w="3357" w:type="dxa"/>
          </w:tcPr>
          <w:p w:rsidR="006E1A40" w:rsidRPr="00FB0F1F" w:rsidRDefault="006E1A40" w:rsidP="006E1A40">
            <w:pPr>
              <w:rPr>
                <w:b/>
                <w:szCs w:val="24"/>
              </w:rPr>
            </w:pPr>
          </w:p>
        </w:tc>
        <w:tc>
          <w:tcPr>
            <w:tcW w:w="1701" w:type="dxa"/>
          </w:tcPr>
          <w:p w:rsidR="006E1A40" w:rsidRDefault="006E1A40" w:rsidP="006E1A40">
            <w:pPr>
              <w:jc w:val="right"/>
              <w:rPr>
                <w:b/>
                <w:szCs w:val="24"/>
              </w:rPr>
            </w:pPr>
            <w:r>
              <w:rPr>
                <w:b/>
                <w:szCs w:val="24"/>
              </w:rPr>
              <w:t>Carrying Value</w:t>
            </w:r>
          </w:p>
          <w:p w:rsidR="006E1A40" w:rsidRPr="00FB0F1F" w:rsidRDefault="006E1A40" w:rsidP="006E1A40">
            <w:pPr>
              <w:jc w:val="right"/>
              <w:rPr>
                <w:b/>
                <w:szCs w:val="24"/>
              </w:rPr>
            </w:pPr>
            <w:r>
              <w:rPr>
                <w:b/>
                <w:szCs w:val="24"/>
              </w:rPr>
              <w:t>2013</w:t>
            </w:r>
          </w:p>
        </w:tc>
        <w:tc>
          <w:tcPr>
            <w:tcW w:w="1701" w:type="dxa"/>
            <w:gridSpan w:val="2"/>
          </w:tcPr>
          <w:p w:rsidR="006E1A40" w:rsidRDefault="006E1A40" w:rsidP="006E1A40">
            <w:pPr>
              <w:jc w:val="right"/>
              <w:rPr>
                <w:b/>
                <w:szCs w:val="24"/>
              </w:rPr>
            </w:pPr>
            <w:r>
              <w:rPr>
                <w:b/>
                <w:szCs w:val="24"/>
              </w:rPr>
              <w:t xml:space="preserve">Carrying </w:t>
            </w:r>
            <w:r w:rsidR="00EE2607">
              <w:rPr>
                <w:b/>
                <w:szCs w:val="24"/>
              </w:rPr>
              <w:t>V</w:t>
            </w:r>
            <w:r>
              <w:rPr>
                <w:b/>
                <w:szCs w:val="24"/>
              </w:rPr>
              <w:t>alue</w:t>
            </w:r>
          </w:p>
          <w:p w:rsidR="006E1A40" w:rsidRPr="00FB0F1F" w:rsidRDefault="006E1A40" w:rsidP="006E1A40">
            <w:pPr>
              <w:jc w:val="right"/>
              <w:rPr>
                <w:b/>
                <w:szCs w:val="24"/>
              </w:rPr>
            </w:pPr>
            <w:r>
              <w:rPr>
                <w:b/>
                <w:szCs w:val="24"/>
              </w:rPr>
              <w:t>2012</w:t>
            </w:r>
          </w:p>
        </w:tc>
        <w:tc>
          <w:tcPr>
            <w:tcW w:w="1418" w:type="dxa"/>
            <w:gridSpan w:val="2"/>
          </w:tcPr>
          <w:p w:rsidR="006E1A40" w:rsidRDefault="006E1A40" w:rsidP="006E1A40">
            <w:pPr>
              <w:jc w:val="right"/>
              <w:rPr>
                <w:b/>
                <w:szCs w:val="24"/>
              </w:rPr>
            </w:pPr>
            <w:r>
              <w:rPr>
                <w:b/>
                <w:szCs w:val="24"/>
              </w:rPr>
              <w:t>Fair Value</w:t>
            </w:r>
          </w:p>
          <w:p w:rsidR="006E1A40" w:rsidRPr="00FB0F1F" w:rsidRDefault="006E1A40" w:rsidP="006E1A40">
            <w:pPr>
              <w:jc w:val="right"/>
              <w:rPr>
                <w:b/>
                <w:szCs w:val="24"/>
              </w:rPr>
            </w:pPr>
            <w:r>
              <w:rPr>
                <w:b/>
                <w:szCs w:val="24"/>
              </w:rPr>
              <w:t>2013</w:t>
            </w:r>
          </w:p>
        </w:tc>
        <w:tc>
          <w:tcPr>
            <w:tcW w:w="1417" w:type="dxa"/>
            <w:gridSpan w:val="2"/>
          </w:tcPr>
          <w:p w:rsidR="006E1A40" w:rsidRDefault="006E1A40" w:rsidP="006E1A40">
            <w:pPr>
              <w:jc w:val="right"/>
              <w:rPr>
                <w:b/>
                <w:szCs w:val="24"/>
              </w:rPr>
            </w:pPr>
            <w:r>
              <w:rPr>
                <w:b/>
                <w:szCs w:val="24"/>
              </w:rPr>
              <w:t>Fair Value</w:t>
            </w:r>
          </w:p>
          <w:p w:rsidR="006E1A40" w:rsidRPr="00FB0F1F" w:rsidRDefault="006E1A40" w:rsidP="006E1A40">
            <w:pPr>
              <w:jc w:val="right"/>
              <w:rPr>
                <w:b/>
                <w:szCs w:val="24"/>
              </w:rPr>
            </w:pPr>
            <w:r>
              <w:rPr>
                <w:b/>
                <w:szCs w:val="24"/>
              </w:rPr>
              <w:t>2012</w:t>
            </w:r>
          </w:p>
        </w:tc>
      </w:tr>
      <w:tr w:rsidR="006E1A40" w:rsidTr="00EE2607">
        <w:trPr>
          <w:gridAfter w:val="1"/>
          <w:wAfter w:w="709" w:type="dxa"/>
        </w:trPr>
        <w:tc>
          <w:tcPr>
            <w:tcW w:w="3357" w:type="dxa"/>
          </w:tcPr>
          <w:p w:rsidR="006E1A40" w:rsidRPr="00FB0F1F" w:rsidRDefault="006E1A40" w:rsidP="006E1A40">
            <w:pPr>
              <w:rPr>
                <w:b/>
                <w:szCs w:val="24"/>
              </w:rPr>
            </w:pPr>
          </w:p>
        </w:tc>
        <w:tc>
          <w:tcPr>
            <w:tcW w:w="1701" w:type="dxa"/>
          </w:tcPr>
          <w:p w:rsidR="006E1A40" w:rsidRPr="00FB0F1F" w:rsidRDefault="006E1A40" w:rsidP="006E1A40">
            <w:pPr>
              <w:jc w:val="right"/>
              <w:rPr>
                <w:b/>
                <w:szCs w:val="24"/>
              </w:rPr>
            </w:pPr>
            <w:r>
              <w:rPr>
                <w:b/>
                <w:szCs w:val="24"/>
              </w:rPr>
              <w:t>£m</w:t>
            </w:r>
          </w:p>
        </w:tc>
        <w:tc>
          <w:tcPr>
            <w:tcW w:w="1701" w:type="dxa"/>
            <w:gridSpan w:val="2"/>
          </w:tcPr>
          <w:p w:rsidR="006E1A40" w:rsidRPr="00FB0F1F" w:rsidRDefault="006E1A40" w:rsidP="006E1A40">
            <w:pPr>
              <w:jc w:val="right"/>
              <w:rPr>
                <w:b/>
                <w:szCs w:val="24"/>
              </w:rPr>
            </w:pPr>
            <w:r>
              <w:rPr>
                <w:b/>
                <w:szCs w:val="24"/>
              </w:rPr>
              <w:t>£m</w:t>
            </w:r>
          </w:p>
        </w:tc>
        <w:tc>
          <w:tcPr>
            <w:tcW w:w="1418" w:type="dxa"/>
            <w:gridSpan w:val="2"/>
          </w:tcPr>
          <w:p w:rsidR="006E1A40" w:rsidRPr="00FB0F1F" w:rsidRDefault="006E1A40" w:rsidP="006E1A40">
            <w:pPr>
              <w:jc w:val="right"/>
              <w:rPr>
                <w:b/>
                <w:szCs w:val="24"/>
              </w:rPr>
            </w:pPr>
            <w:r>
              <w:rPr>
                <w:b/>
                <w:szCs w:val="24"/>
              </w:rPr>
              <w:t>£m</w:t>
            </w:r>
          </w:p>
        </w:tc>
        <w:tc>
          <w:tcPr>
            <w:tcW w:w="1417" w:type="dxa"/>
            <w:gridSpan w:val="2"/>
          </w:tcPr>
          <w:p w:rsidR="006E1A40" w:rsidRPr="00FB0F1F" w:rsidRDefault="006E1A40" w:rsidP="006E1A40">
            <w:pPr>
              <w:jc w:val="right"/>
              <w:rPr>
                <w:b/>
                <w:szCs w:val="24"/>
              </w:rPr>
            </w:pPr>
            <w:r>
              <w:rPr>
                <w:b/>
                <w:szCs w:val="24"/>
              </w:rPr>
              <w:t>£m</w:t>
            </w:r>
          </w:p>
        </w:tc>
      </w:tr>
      <w:tr w:rsidR="006E1A40" w:rsidTr="00EE2607">
        <w:trPr>
          <w:gridAfter w:val="1"/>
          <w:wAfter w:w="709" w:type="dxa"/>
          <w:trHeight w:val="170"/>
        </w:trPr>
        <w:tc>
          <w:tcPr>
            <w:tcW w:w="3357" w:type="dxa"/>
          </w:tcPr>
          <w:p w:rsidR="006E1A40" w:rsidRPr="002903B7" w:rsidRDefault="006E1A40" w:rsidP="006E1A40">
            <w:pPr>
              <w:spacing w:after="120"/>
              <w:rPr>
                <w:b/>
                <w:szCs w:val="24"/>
              </w:rPr>
            </w:pPr>
            <w:r w:rsidRPr="002903B7">
              <w:rPr>
                <w:b/>
                <w:szCs w:val="24"/>
              </w:rPr>
              <w:t>Financial assets</w:t>
            </w:r>
          </w:p>
        </w:tc>
        <w:tc>
          <w:tcPr>
            <w:tcW w:w="1701" w:type="dxa"/>
          </w:tcPr>
          <w:p w:rsidR="006E1A40" w:rsidRDefault="006E1A40" w:rsidP="006E1A40">
            <w:pPr>
              <w:spacing w:after="120"/>
              <w:jc w:val="right"/>
              <w:rPr>
                <w:szCs w:val="24"/>
              </w:rPr>
            </w:pPr>
          </w:p>
        </w:tc>
        <w:tc>
          <w:tcPr>
            <w:tcW w:w="1701" w:type="dxa"/>
            <w:gridSpan w:val="2"/>
          </w:tcPr>
          <w:p w:rsidR="006E1A40" w:rsidRDefault="006E1A40" w:rsidP="006E1A40">
            <w:pPr>
              <w:spacing w:after="120"/>
              <w:jc w:val="right"/>
              <w:rPr>
                <w:szCs w:val="24"/>
              </w:rPr>
            </w:pPr>
          </w:p>
        </w:tc>
        <w:tc>
          <w:tcPr>
            <w:tcW w:w="1418" w:type="dxa"/>
            <w:gridSpan w:val="2"/>
          </w:tcPr>
          <w:p w:rsidR="006E1A40" w:rsidRDefault="006E1A40" w:rsidP="006E1A40">
            <w:pPr>
              <w:spacing w:after="120"/>
              <w:jc w:val="right"/>
              <w:rPr>
                <w:szCs w:val="24"/>
              </w:rPr>
            </w:pPr>
          </w:p>
        </w:tc>
        <w:tc>
          <w:tcPr>
            <w:tcW w:w="1417" w:type="dxa"/>
            <w:gridSpan w:val="2"/>
          </w:tcPr>
          <w:p w:rsidR="006E1A40" w:rsidRDefault="006E1A40" w:rsidP="006E1A40">
            <w:pPr>
              <w:spacing w:after="120"/>
              <w:jc w:val="right"/>
              <w:rPr>
                <w:szCs w:val="24"/>
              </w:rPr>
            </w:pPr>
          </w:p>
        </w:tc>
      </w:tr>
      <w:tr w:rsidR="006E1A40" w:rsidTr="00EE2607">
        <w:trPr>
          <w:gridAfter w:val="1"/>
          <w:wAfter w:w="709" w:type="dxa"/>
          <w:trHeight w:val="170"/>
        </w:trPr>
        <w:tc>
          <w:tcPr>
            <w:tcW w:w="3357" w:type="dxa"/>
          </w:tcPr>
          <w:p w:rsidR="006E1A40" w:rsidRDefault="006E1A40" w:rsidP="006E1A40">
            <w:pPr>
              <w:spacing w:after="120"/>
              <w:rPr>
                <w:szCs w:val="24"/>
              </w:rPr>
            </w:pPr>
            <w:r>
              <w:rPr>
                <w:szCs w:val="24"/>
              </w:rPr>
              <w:t>Trading and other financial assets at fair value through profit and loss</w:t>
            </w:r>
          </w:p>
        </w:tc>
        <w:tc>
          <w:tcPr>
            <w:tcW w:w="1701" w:type="dxa"/>
            <w:vAlign w:val="center"/>
          </w:tcPr>
          <w:p w:rsidR="006E1A40" w:rsidRDefault="006E1A40" w:rsidP="006E1A40">
            <w:pPr>
              <w:spacing w:after="120"/>
              <w:jc w:val="right"/>
              <w:rPr>
                <w:szCs w:val="24"/>
              </w:rPr>
            </w:pPr>
            <w:r>
              <w:rPr>
                <w:szCs w:val="24"/>
              </w:rPr>
              <w:t>3,784.4</w:t>
            </w:r>
          </w:p>
        </w:tc>
        <w:tc>
          <w:tcPr>
            <w:tcW w:w="1701" w:type="dxa"/>
            <w:gridSpan w:val="2"/>
            <w:vAlign w:val="center"/>
          </w:tcPr>
          <w:p w:rsidR="006E1A40" w:rsidRDefault="006E1A40" w:rsidP="006E1A40">
            <w:pPr>
              <w:spacing w:after="120"/>
              <w:jc w:val="right"/>
              <w:rPr>
                <w:szCs w:val="24"/>
              </w:rPr>
            </w:pPr>
            <w:r>
              <w:rPr>
                <w:szCs w:val="24"/>
              </w:rPr>
              <w:t>3,347.5</w:t>
            </w:r>
          </w:p>
        </w:tc>
        <w:tc>
          <w:tcPr>
            <w:tcW w:w="1418" w:type="dxa"/>
            <w:gridSpan w:val="2"/>
            <w:vAlign w:val="center"/>
          </w:tcPr>
          <w:p w:rsidR="006E1A40" w:rsidRDefault="006E1A40" w:rsidP="006E1A40">
            <w:pPr>
              <w:spacing w:after="120"/>
              <w:jc w:val="right"/>
              <w:rPr>
                <w:szCs w:val="24"/>
              </w:rPr>
            </w:pPr>
            <w:r>
              <w:rPr>
                <w:szCs w:val="24"/>
              </w:rPr>
              <w:t>4,385.5</w:t>
            </w:r>
          </w:p>
        </w:tc>
        <w:tc>
          <w:tcPr>
            <w:tcW w:w="1417" w:type="dxa"/>
            <w:gridSpan w:val="2"/>
            <w:vAlign w:val="center"/>
          </w:tcPr>
          <w:p w:rsidR="006E1A40" w:rsidRDefault="006E1A40" w:rsidP="006E1A40">
            <w:pPr>
              <w:spacing w:after="120"/>
              <w:jc w:val="right"/>
              <w:rPr>
                <w:szCs w:val="24"/>
              </w:rPr>
            </w:pPr>
            <w:r>
              <w:rPr>
                <w:szCs w:val="24"/>
              </w:rPr>
              <w:t>3,850.8</w:t>
            </w:r>
          </w:p>
        </w:tc>
      </w:tr>
      <w:tr w:rsidR="006E1A40" w:rsidTr="00EE2607">
        <w:trPr>
          <w:gridAfter w:val="1"/>
          <w:wAfter w:w="709" w:type="dxa"/>
          <w:trHeight w:val="170"/>
        </w:trPr>
        <w:tc>
          <w:tcPr>
            <w:tcW w:w="3357" w:type="dxa"/>
          </w:tcPr>
          <w:p w:rsidR="006E1A40" w:rsidRDefault="006E1A40" w:rsidP="006E1A40">
            <w:pPr>
              <w:spacing w:after="120"/>
              <w:rPr>
                <w:szCs w:val="24"/>
              </w:rPr>
            </w:pPr>
            <w:r>
              <w:rPr>
                <w:szCs w:val="24"/>
              </w:rPr>
              <w:t>Loans and Receivables</w:t>
            </w:r>
          </w:p>
        </w:tc>
        <w:tc>
          <w:tcPr>
            <w:tcW w:w="1701" w:type="dxa"/>
          </w:tcPr>
          <w:p w:rsidR="006E1A40" w:rsidRDefault="006E1A40" w:rsidP="006E1A40">
            <w:pPr>
              <w:spacing w:after="120"/>
              <w:jc w:val="right"/>
              <w:rPr>
                <w:szCs w:val="24"/>
              </w:rPr>
            </w:pPr>
            <w:r>
              <w:rPr>
                <w:szCs w:val="24"/>
              </w:rPr>
              <w:t>202.2</w:t>
            </w:r>
          </w:p>
        </w:tc>
        <w:tc>
          <w:tcPr>
            <w:tcW w:w="1701" w:type="dxa"/>
            <w:gridSpan w:val="2"/>
          </w:tcPr>
          <w:p w:rsidR="006E1A40" w:rsidRDefault="006E1A40" w:rsidP="006E1A40">
            <w:pPr>
              <w:spacing w:after="120"/>
              <w:jc w:val="right"/>
              <w:rPr>
                <w:szCs w:val="24"/>
              </w:rPr>
            </w:pPr>
            <w:r>
              <w:rPr>
                <w:szCs w:val="24"/>
              </w:rPr>
              <w:t>150.1</w:t>
            </w:r>
          </w:p>
        </w:tc>
        <w:tc>
          <w:tcPr>
            <w:tcW w:w="1418" w:type="dxa"/>
            <w:gridSpan w:val="2"/>
          </w:tcPr>
          <w:p w:rsidR="006E1A40" w:rsidRDefault="006E1A40" w:rsidP="006E1A40">
            <w:pPr>
              <w:spacing w:after="120"/>
              <w:jc w:val="right"/>
              <w:rPr>
                <w:szCs w:val="24"/>
              </w:rPr>
            </w:pPr>
            <w:r>
              <w:rPr>
                <w:szCs w:val="24"/>
              </w:rPr>
              <w:t>202.2</w:t>
            </w:r>
          </w:p>
        </w:tc>
        <w:tc>
          <w:tcPr>
            <w:tcW w:w="1417" w:type="dxa"/>
            <w:gridSpan w:val="2"/>
          </w:tcPr>
          <w:p w:rsidR="006E1A40" w:rsidRDefault="006E1A40" w:rsidP="006E1A40">
            <w:pPr>
              <w:spacing w:after="120"/>
              <w:jc w:val="right"/>
              <w:rPr>
                <w:szCs w:val="24"/>
              </w:rPr>
            </w:pPr>
            <w:r>
              <w:rPr>
                <w:szCs w:val="24"/>
              </w:rPr>
              <w:t>150.1</w:t>
            </w:r>
          </w:p>
        </w:tc>
      </w:tr>
      <w:tr w:rsidR="006E1A40" w:rsidTr="00EE2607">
        <w:trPr>
          <w:gridAfter w:val="1"/>
          <w:wAfter w:w="709" w:type="dxa"/>
          <w:trHeight w:val="170"/>
        </w:trPr>
        <w:tc>
          <w:tcPr>
            <w:tcW w:w="3357" w:type="dxa"/>
          </w:tcPr>
          <w:p w:rsidR="006E1A40" w:rsidRPr="002903B7" w:rsidRDefault="006E1A40" w:rsidP="006E1A40">
            <w:pPr>
              <w:spacing w:after="120"/>
              <w:rPr>
                <w:b/>
                <w:szCs w:val="24"/>
              </w:rPr>
            </w:pPr>
            <w:r w:rsidRPr="002903B7">
              <w:rPr>
                <w:b/>
                <w:szCs w:val="24"/>
              </w:rPr>
              <w:t>Total Financial Assets</w:t>
            </w:r>
          </w:p>
        </w:tc>
        <w:tc>
          <w:tcPr>
            <w:tcW w:w="1701" w:type="dxa"/>
          </w:tcPr>
          <w:p w:rsidR="006E1A40" w:rsidRPr="002903B7" w:rsidRDefault="006E1A40" w:rsidP="006E1A40">
            <w:pPr>
              <w:spacing w:after="120"/>
              <w:jc w:val="right"/>
              <w:rPr>
                <w:b/>
                <w:szCs w:val="24"/>
              </w:rPr>
            </w:pPr>
            <w:r>
              <w:rPr>
                <w:b/>
                <w:szCs w:val="24"/>
              </w:rPr>
              <w:t>3,986.6</w:t>
            </w:r>
          </w:p>
        </w:tc>
        <w:tc>
          <w:tcPr>
            <w:tcW w:w="1701" w:type="dxa"/>
            <w:gridSpan w:val="2"/>
          </w:tcPr>
          <w:p w:rsidR="006E1A40" w:rsidRPr="002903B7" w:rsidRDefault="006E1A40" w:rsidP="006E1A40">
            <w:pPr>
              <w:spacing w:after="120"/>
              <w:jc w:val="right"/>
              <w:rPr>
                <w:b/>
                <w:szCs w:val="24"/>
              </w:rPr>
            </w:pPr>
            <w:r w:rsidRPr="002903B7">
              <w:rPr>
                <w:b/>
                <w:szCs w:val="24"/>
              </w:rPr>
              <w:t>3,</w:t>
            </w:r>
            <w:r>
              <w:rPr>
                <w:b/>
                <w:szCs w:val="24"/>
              </w:rPr>
              <w:t>497.6</w:t>
            </w:r>
          </w:p>
        </w:tc>
        <w:tc>
          <w:tcPr>
            <w:tcW w:w="1418" w:type="dxa"/>
            <w:gridSpan w:val="2"/>
          </w:tcPr>
          <w:p w:rsidR="006E1A40" w:rsidRPr="002903B7" w:rsidRDefault="006E1A40" w:rsidP="006E1A40">
            <w:pPr>
              <w:spacing w:after="120"/>
              <w:jc w:val="right"/>
              <w:rPr>
                <w:b/>
                <w:szCs w:val="24"/>
              </w:rPr>
            </w:pPr>
            <w:r>
              <w:rPr>
                <w:b/>
                <w:szCs w:val="24"/>
              </w:rPr>
              <w:t>4,587.7</w:t>
            </w:r>
          </w:p>
        </w:tc>
        <w:tc>
          <w:tcPr>
            <w:tcW w:w="1417" w:type="dxa"/>
            <w:gridSpan w:val="2"/>
          </w:tcPr>
          <w:p w:rsidR="006E1A40" w:rsidRPr="002903B7" w:rsidRDefault="006E1A40" w:rsidP="006E1A40">
            <w:pPr>
              <w:spacing w:after="120"/>
              <w:jc w:val="right"/>
              <w:rPr>
                <w:b/>
                <w:szCs w:val="24"/>
              </w:rPr>
            </w:pPr>
            <w:r>
              <w:rPr>
                <w:b/>
                <w:szCs w:val="24"/>
              </w:rPr>
              <w:t>4,000.9</w:t>
            </w:r>
          </w:p>
        </w:tc>
      </w:tr>
      <w:tr w:rsidR="003444A0" w:rsidTr="00EE2607">
        <w:trPr>
          <w:gridAfter w:val="1"/>
          <w:wAfter w:w="709" w:type="dxa"/>
          <w:trHeight w:val="170"/>
        </w:trPr>
        <w:tc>
          <w:tcPr>
            <w:tcW w:w="3357" w:type="dxa"/>
          </w:tcPr>
          <w:p w:rsidR="003444A0" w:rsidRPr="002903B7" w:rsidRDefault="003444A0" w:rsidP="006E1A40">
            <w:pPr>
              <w:spacing w:after="120"/>
              <w:rPr>
                <w:b/>
                <w:szCs w:val="24"/>
              </w:rPr>
            </w:pPr>
          </w:p>
        </w:tc>
        <w:tc>
          <w:tcPr>
            <w:tcW w:w="1701" w:type="dxa"/>
          </w:tcPr>
          <w:p w:rsidR="003444A0" w:rsidRDefault="003444A0" w:rsidP="006E1A40">
            <w:pPr>
              <w:spacing w:after="120"/>
              <w:jc w:val="right"/>
              <w:rPr>
                <w:b/>
                <w:szCs w:val="24"/>
              </w:rPr>
            </w:pPr>
          </w:p>
        </w:tc>
        <w:tc>
          <w:tcPr>
            <w:tcW w:w="1701" w:type="dxa"/>
            <w:gridSpan w:val="2"/>
          </w:tcPr>
          <w:p w:rsidR="003444A0" w:rsidRPr="002903B7" w:rsidRDefault="003444A0" w:rsidP="006E1A40">
            <w:pPr>
              <w:spacing w:after="120"/>
              <w:jc w:val="right"/>
              <w:rPr>
                <w:b/>
                <w:szCs w:val="24"/>
              </w:rPr>
            </w:pPr>
          </w:p>
        </w:tc>
        <w:tc>
          <w:tcPr>
            <w:tcW w:w="1418" w:type="dxa"/>
            <w:gridSpan w:val="2"/>
          </w:tcPr>
          <w:p w:rsidR="003444A0" w:rsidRDefault="003444A0" w:rsidP="006E1A40">
            <w:pPr>
              <w:spacing w:after="120"/>
              <w:jc w:val="right"/>
              <w:rPr>
                <w:b/>
                <w:szCs w:val="24"/>
              </w:rPr>
            </w:pPr>
          </w:p>
        </w:tc>
        <w:tc>
          <w:tcPr>
            <w:tcW w:w="1417" w:type="dxa"/>
            <w:gridSpan w:val="2"/>
          </w:tcPr>
          <w:p w:rsidR="003444A0" w:rsidRDefault="003444A0" w:rsidP="006E1A40">
            <w:pPr>
              <w:spacing w:after="120"/>
              <w:jc w:val="right"/>
              <w:rPr>
                <w:b/>
                <w:szCs w:val="24"/>
              </w:rPr>
            </w:pPr>
          </w:p>
        </w:tc>
      </w:tr>
      <w:tr w:rsidR="006E1A40" w:rsidTr="00EE2607">
        <w:trPr>
          <w:gridAfter w:val="1"/>
          <w:wAfter w:w="709" w:type="dxa"/>
          <w:trHeight w:val="170"/>
        </w:trPr>
        <w:tc>
          <w:tcPr>
            <w:tcW w:w="3357" w:type="dxa"/>
          </w:tcPr>
          <w:p w:rsidR="006E1A40" w:rsidRPr="002903B7" w:rsidRDefault="006E1A40" w:rsidP="006E1A40">
            <w:pPr>
              <w:spacing w:after="120"/>
              <w:rPr>
                <w:b/>
                <w:szCs w:val="24"/>
              </w:rPr>
            </w:pPr>
            <w:r w:rsidRPr="002903B7">
              <w:rPr>
                <w:b/>
                <w:szCs w:val="24"/>
              </w:rPr>
              <w:t>Financial Liabilities</w:t>
            </w:r>
          </w:p>
        </w:tc>
        <w:tc>
          <w:tcPr>
            <w:tcW w:w="1701" w:type="dxa"/>
          </w:tcPr>
          <w:p w:rsidR="006E1A40" w:rsidRDefault="006E1A40" w:rsidP="006E1A40">
            <w:pPr>
              <w:spacing w:after="120"/>
              <w:jc w:val="right"/>
              <w:rPr>
                <w:szCs w:val="24"/>
              </w:rPr>
            </w:pPr>
          </w:p>
        </w:tc>
        <w:tc>
          <w:tcPr>
            <w:tcW w:w="1701" w:type="dxa"/>
            <w:gridSpan w:val="2"/>
          </w:tcPr>
          <w:p w:rsidR="006E1A40" w:rsidRDefault="006E1A40" w:rsidP="006E1A40">
            <w:pPr>
              <w:spacing w:after="120"/>
              <w:jc w:val="right"/>
              <w:rPr>
                <w:szCs w:val="24"/>
              </w:rPr>
            </w:pPr>
          </w:p>
        </w:tc>
        <w:tc>
          <w:tcPr>
            <w:tcW w:w="1418" w:type="dxa"/>
            <w:gridSpan w:val="2"/>
          </w:tcPr>
          <w:p w:rsidR="006E1A40" w:rsidRDefault="006E1A40" w:rsidP="006E1A40">
            <w:pPr>
              <w:spacing w:after="120"/>
              <w:jc w:val="right"/>
              <w:rPr>
                <w:szCs w:val="24"/>
              </w:rPr>
            </w:pPr>
          </w:p>
        </w:tc>
        <w:tc>
          <w:tcPr>
            <w:tcW w:w="1417" w:type="dxa"/>
            <w:gridSpan w:val="2"/>
          </w:tcPr>
          <w:p w:rsidR="006E1A40" w:rsidRDefault="006E1A40" w:rsidP="006E1A40">
            <w:pPr>
              <w:spacing w:after="120"/>
              <w:jc w:val="right"/>
              <w:rPr>
                <w:szCs w:val="24"/>
              </w:rPr>
            </w:pPr>
          </w:p>
        </w:tc>
      </w:tr>
      <w:tr w:rsidR="006E1A40" w:rsidTr="00EE2607">
        <w:trPr>
          <w:gridAfter w:val="1"/>
          <w:wAfter w:w="709" w:type="dxa"/>
          <w:trHeight w:val="170"/>
        </w:trPr>
        <w:tc>
          <w:tcPr>
            <w:tcW w:w="3357" w:type="dxa"/>
          </w:tcPr>
          <w:p w:rsidR="006E1A40" w:rsidRDefault="006E1A40" w:rsidP="006E1A40">
            <w:pPr>
              <w:spacing w:after="120"/>
              <w:rPr>
                <w:szCs w:val="24"/>
              </w:rPr>
            </w:pPr>
            <w:r>
              <w:rPr>
                <w:szCs w:val="24"/>
              </w:rPr>
              <w:t>Trading and other financial liabilities at fair value through profit and loss</w:t>
            </w:r>
          </w:p>
        </w:tc>
        <w:tc>
          <w:tcPr>
            <w:tcW w:w="1701" w:type="dxa"/>
            <w:vAlign w:val="center"/>
          </w:tcPr>
          <w:p w:rsidR="006E1A40" w:rsidRDefault="006E1A40" w:rsidP="006E1A40">
            <w:pPr>
              <w:spacing w:after="120"/>
              <w:jc w:val="right"/>
              <w:rPr>
                <w:szCs w:val="24"/>
              </w:rPr>
            </w:pPr>
            <w:r>
              <w:rPr>
                <w:szCs w:val="24"/>
              </w:rPr>
              <w:t>1.9</w:t>
            </w:r>
          </w:p>
        </w:tc>
        <w:tc>
          <w:tcPr>
            <w:tcW w:w="1701" w:type="dxa"/>
            <w:gridSpan w:val="2"/>
            <w:vAlign w:val="center"/>
          </w:tcPr>
          <w:p w:rsidR="006E1A40" w:rsidRDefault="006E1A40" w:rsidP="006E1A40">
            <w:pPr>
              <w:spacing w:after="120"/>
              <w:jc w:val="right"/>
              <w:rPr>
                <w:szCs w:val="24"/>
              </w:rPr>
            </w:pPr>
            <w:r>
              <w:rPr>
                <w:szCs w:val="24"/>
              </w:rPr>
              <w:t>1.6</w:t>
            </w:r>
          </w:p>
        </w:tc>
        <w:tc>
          <w:tcPr>
            <w:tcW w:w="1418" w:type="dxa"/>
            <w:gridSpan w:val="2"/>
            <w:vAlign w:val="center"/>
          </w:tcPr>
          <w:p w:rsidR="006E1A40" w:rsidRDefault="006E1A40" w:rsidP="006E1A40">
            <w:pPr>
              <w:spacing w:after="120"/>
              <w:jc w:val="right"/>
              <w:rPr>
                <w:szCs w:val="24"/>
              </w:rPr>
            </w:pPr>
            <w:r>
              <w:rPr>
                <w:szCs w:val="24"/>
              </w:rPr>
              <w:t>1.9</w:t>
            </w:r>
          </w:p>
        </w:tc>
        <w:tc>
          <w:tcPr>
            <w:tcW w:w="1417" w:type="dxa"/>
            <w:gridSpan w:val="2"/>
            <w:vAlign w:val="center"/>
          </w:tcPr>
          <w:p w:rsidR="006E1A40" w:rsidRDefault="006E1A40" w:rsidP="006E1A40">
            <w:pPr>
              <w:spacing w:after="120"/>
              <w:jc w:val="right"/>
              <w:rPr>
                <w:szCs w:val="24"/>
              </w:rPr>
            </w:pPr>
            <w:r>
              <w:rPr>
                <w:szCs w:val="24"/>
              </w:rPr>
              <w:t>1.6</w:t>
            </w:r>
          </w:p>
        </w:tc>
      </w:tr>
      <w:tr w:rsidR="006E1A40" w:rsidTr="00EE2607">
        <w:trPr>
          <w:gridAfter w:val="1"/>
          <w:wAfter w:w="709" w:type="dxa"/>
          <w:trHeight w:val="170"/>
        </w:trPr>
        <w:tc>
          <w:tcPr>
            <w:tcW w:w="3357" w:type="dxa"/>
          </w:tcPr>
          <w:p w:rsidR="006E1A40" w:rsidRDefault="006E1A40" w:rsidP="006E1A40">
            <w:pPr>
              <w:spacing w:after="120"/>
              <w:rPr>
                <w:szCs w:val="24"/>
              </w:rPr>
            </w:pPr>
            <w:r>
              <w:rPr>
                <w:szCs w:val="24"/>
              </w:rPr>
              <w:t>Financial liabilities at amortised cost</w:t>
            </w:r>
          </w:p>
        </w:tc>
        <w:tc>
          <w:tcPr>
            <w:tcW w:w="1701" w:type="dxa"/>
          </w:tcPr>
          <w:p w:rsidR="006E1A40" w:rsidRDefault="006E1A40" w:rsidP="006E1A40">
            <w:pPr>
              <w:spacing w:after="120"/>
              <w:jc w:val="right"/>
              <w:rPr>
                <w:szCs w:val="24"/>
              </w:rPr>
            </w:pPr>
            <w:r>
              <w:rPr>
                <w:szCs w:val="24"/>
              </w:rPr>
              <w:t>9.7</w:t>
            </w:r>
          </w:p>
        </w:tc>
        <w:tc>
          <w:tcPr>
            <w:tcW w:w="1701" w:type="dxa"/>
            <w:gridSpan w:val="2"/>
          </w:tcPr>
          <w:p w:rsidR="006E1A40" w:rsidRDefault="006E1A40" w:rsidP="006E1A40">
            <w:pPr>
              <w:spacing w:after="120"/>
              <w:jc w:val="right"/>
              <w:rPr>
                <w:szCs w:val="24"/>
              </w:rPr>
            </w:pPr>
            <w:r>
              <w:rPr>
                <w:szCs w:val="24"/>
              </w:rPr>
              <w:t>3.2</w:t>
            </w:r>
          </w:p>
        </w:tc>
        <w:tc>
          <w:tcPr>
            <w:tcW w:w="1418" w:type="dxa"/>
            <w:gridSpan w:val="2"/>
          </w:tcPr>
          <w:p w:rsidR="006E1A40" w:rsidRDefault="006E1A40" w:rsidP="006E1A40">
            <w:pPr>
              <w:spacing w:after="120"/>
              <w:jc w:val="right"/>
              <w:rPr>
                <w:szCs w:val="24"/>
              </w:rPr>
            </w:pPr>
            <w:r>
              <w:rPr>
                <w:szCs w:val="24"/>
              </w:rPr>
              <w:t>9.7</w:t>
            </w:r>
          </w:p>
        </w:tc>
        <w:tc>
          <w:tcPr>
            <w:tcW w:w="1417" w:type="dxa"/>
            <w:gridSpan w:val="2"/>
          </w:tcPr>
          <w:p w:rsidR="006E1A40" w:rsidRDefault="006E1A40" w:rsidP="006E1A40">
            <w:pPr>
              <w:spacing w:after="120"/>
              <w:jc w:val="right"/>
              <w:rPr>
                <w:szCs w:val="24"/>
              </w:rPr>
            </w:pPr>
            <w:r>
              <w:rPr>
                <w:szCs w:val="24"/>
              </w:rPr>
              <w:t>3.2</w:t>
            </w:r>
          </w:p>
        </w:tc>
      </w:tr>
      <w:tr w:rsidR="006E1A40" w:rsidRPr="002903B7" w:rsidTr="00EE2607">
        <w:trPr>
          <w:gridAfter w:val="1"/>
          <w:wAfter w:w="709" w:type="dxa"/>
          <w:trHeight w:val="170"/>
        </w:trPr>
        <w:tc>
          <w:tcPr>
            <w:tcW w:w="3357" w:type="dxa"/>
          </w:tcPr>
          <w:p w:rsidR="006E1A40" w:rsidRPr="002903B7" w:rsidRDefault="006E1A40" w:rsidP="006E1A40">
            <w:pPr>
              <w:spacing w:after="120"/>
              <w:rPr>
                <w:b/>
                <w:szCs w:val="24"/>
              </w:rPr>
            </w:pPr>
            <w:r w:rsidRPr="002903B7">
              <w:rPr>
                <w:b/>
                <w:szCs w:val="24"/>
              </w:rPr>
              <w:t>Total Financial Liabilities</w:t>
            </w:r>
          </w:p>
        </w:tc>
        <w:tc>
          <w:tcPr>
            <w:tcW w:w="1701" w:type="dxa"/>
          </w:tcPr>
          <w:p w:rsidR="006E1A40" w:rsidRPr="002903B7" w:rsidRDefault="006E1A40" w:rsidP="006E1A40">
            <w:pPr>
              <w:spacing w:after="120"/>
              <w:jc w:val="right"/>
              <w:rPr>
                <w:b/>
                <w:szCs w:val="24"/>
              </w:rPr>
            </w:pPr>
            <w:r>
              <w:rPr>
                <w:b/>
                <w:szCs w:val="24"/>
              </w:rPr>
              <w:t>11.6</w:t>
            </w:r>
          </w:p>
        </w:tc>
        <w:tc>
          <w:tcPr>
            <w:tcW w:w="1701" w:type="dxa"/>
            <w:gridSpan w:val="2"/>
          </w:tcPr>
          <w:p w:rsidR="006E1A40" w:rsidRPr="002903B7" w:rsidRDefault="006E1A40" w:rsidP="006E1A40">
            <w:pPr>
              <w:spacing w:after="120"/>
              <w:jc w:val="right"/>
              <w:rPr>
                <w:b/>
                <w:szCs w:val="24"/>
              </w:rPr>
            </w:pPr>
            <w:r>
              <w:rPr>
                <w:b/>
                <w:szCs w:val="24"/>
              </w:rPr>
              <w:t>4.8</w:t>
            </w:r>
          </w:p>
        </w:tc>
        <w:tc>
          <w:tcPr>
            <w:tcW w:w="1418" w:type="dxa"/>
            <w:gridSpan w:val="2"/>
          </w:tcPr>
          <w:p w:rsidR="006E1A40" w:rsidRPr="002903B7" w:rsidRDefault="006E1A40" w:rsidP="006E1A40">
            <w:pPr>
              <w:spacing w:after="120"/>
              <w:jc w:val="right"/>
              <w:rPr>
                <w:b/>
                <w:szCs w:val="24"/>
              </w:rPr>
            </w:pPr>
            <w:r>
              <w:rPr>
                <w:b/>
                <w:szCs w:val="24"/>
              </w:rPr>
              <w:t>11.6</w:t>
            </w:r>
          </w:p>
        </w:tc>
        <w:tc>
          <w:tcPr>
            <w:tcW w:w="1417" w:type="dxa"/>
            <w:gridSpan w:val="2"/>
          </w:tcPr>
          <w:p w:rsidR="006E1A40" w:rsidRPr="002903B7" w:rsidRDefault="006E1A40" w:rsidP="006E1A40">
            <w:pPr>
              <w:spacing w:after="120"/>
              <w:jc w:val="right"/>
              <w:rPr>
                <w:b/>
                <w:szCs w:val="24"/>
              </w:rPr>
            </w:pPr>
            <w:r>
              <w:rPr>
                <w:b/>
                <w:szCs w:val="24"/>
              </w:rPr>
              <w:t>4.8</w:t>
            </w:r>
          </w:p>
        </w:tc>
      </w:tr>
      <w:tr w:rsidR="006E1A40" w:rsidRPr="002903B7" w:rsidTr="006E1A40">
        <w:tc>
          <w:tcPr>
            <w:tcW w:w="3357" w:type="dxa"/>
          </w:tcPr>
          <w:p w:rsidR="006E1A40" w:rsidRPr="002903B7" w:rsidRDefault="006E1A40" w:rsidP="006E1A40">
            <w:pPr>
              <w:spacing w:after="120"/>
              <w:rPr>
                <w:b/>
                <w:szCs w:val="24"/>
              </w:rPr>
            </w:pPr>
          </w:p>
        </w:tc>
        <w:tc>
          <w:tcPr>
            <w:tcW w:w="1985" w:type="dxa"/>
            <w:gridSpan w:val="2"/>
          </w:tcPr>
          <w:p w:rsidR="006E1A40" w:rsidRPr="002903B7" w:rsidRDefault="006E1A40" w:rsidP="006E1A40">
            <w:pPr>
              <w:spacing w:after="120"/>
              <w:jc w:val="right"/>
              <w:rPr>
                <w:b/>
                <w:szCs w:val="24"/>
              </w:rPr>
            </w:pPr>
          </w:p>
        </w:tc>
        <w:tc>
          <w:tcPr>
            <w:tcW w:w="2095" w:type="dxa"/>
            <w:gridSpan w:val="2"/>
          </w:tcPr>
          <w:p w:rsidR="006E1A40" w:rsidRDefault="006E1A40" w:rsidP="006E1A40">
            <w:pPr>
              <w:spacing w:after="120"/>
              <w:jc w:val="right"/>
              <w:rPr>
                <w:b/>
                <w:szCs w:val="24"/>
              </w:rPr>
            </w:pPr>
          </w:p>
        </w:tc>
        <w:tc>
          <w:tcPr>
            <w:tcW w:w="1449" w:type="dxa"/>
            <w:gridSpan w:val="2"/>
          </w:tcPr>
          <w:p w:rsidR="006E1A40" w:rsidRPr="002903B7" w:rsidRDefault="006E1A40" w:rsidP="006E1A40">
            <w:pPr>
              <w:spacing w:after="120"/>
              <w:jc w:val="right"/>
              <w:rPr>
                <w:b/>
                <w:szCs w:val="24"/>
              </w:rPr>
            </w:pPr>
          </w:p>
        </w:tc>
        <w:tc>
          <w:tcPr>
            <w:tcW w:w="1417" w:type="dxa"/>
            <w:gridSpan w:val="2"/>
          </w:tcPr>
          <w:p w:rsidR="006E1A40" w:rsidRDefault="006E1A40" w:rsidP="006E1A40">
            <w:pPr>
              <w:spacing w:after="120"/>
              <w:jc w:val="right"/>
              <w:rPr>
                <w:b/>
                <w:szCs w:val="24"/>
              </w:rPr>
            </w:pPr>
          </w:p>
        </w:tc>
      </w:tr>
    </w:tbl>
    <w:p w:rsidR="006E1A40" w:rsidRPr="0068032C" w:rsidRDefault="006E1A40" w:rsidP="006E1A40">
      <w:pPr>
        <w:pStyle w:val="ListParagraph"/>
        <w:numPr>
          <w:ilvl w:val="0"/>
          <w:numId w:val="2"/>
        </w:numPr>
        <w:tabs>
          <w:tab w:val="clear" w:pos="720"/>
          <w:tab w:val="num" w:pos="862"/>
        </w:tabs>
        <w:ind w:left="862"/>
        <w:rPr>
          <w:b/>
        </w:rPr>
      </w:pPr>
      <w:r w:rsidRPr="0068032C">
        <w:rPr>
          <w:b/>
        </w:rPr>
        <w:t xml:space="preserve">Financial Instruments – Valuation </w:t>
      </w:r>
    </w:p>
    <w:p w:rsidR="006E1A40" w:rsidRDefault="006E1A40" w:rsidP="006E1A40">
      <w:pPr>
        <w:pStyle w:val="ListParagraph"/>
        <w:rPr>
          <w:b/>
        </w:rPr>
      </w:pPr>
    </w:p>
    <w:p w:rsidR="006E1A40" w:rsidRDefault="006E1A40" w:rsidP="006E1A40">
      <w:pPr>
        <w:ind w:left="720"/>
        <w:rPr>
          <w:b/>
        </w:rPr>
      </w:pPr>
      <w:r>
        <w:rPr>
          <w:b/>
        </w:rPr>
        <w:t>Valuation of financial instruments carried at fair value</w:t>
      </w:r>
    </w:p>
    <w:p w:rsidR="006E1A40" w:rsidRDefault="006E1A40" w:rsidP="006E1A40">
      <w:pPr>
        <w:ind w:left="720"/>
        <w:rPr>
          <w:b/>
        </w:rPr>
      </w:pPr>
    </w:p>
    <w:p w:rsidR="006E1A40" w:rsidRDefault="006E1A40" w:rsidP="006E1A40">
      <w:pPr>
        <w:ind w:left="720"/>
        <w:rPr>
          <w:szCs w:val="24"/>
        </w:rPr>
      </w:pPr>
      <w:r w:rsidRPr="000637CA">
        <w:rPr>
          <w:szCs w:val="24"/>
        </w:rPr>
        <w:t>The valuation of financial instruments has been classified into three levels according to quality and reliability of information used to determine fair values.</w:t>
      </w:r>
    </w:p>
    <w:p w:rsidR="006E1A40" w:rsidRDefault="006E1A40" w:rsidP="006E1A40">
      <w:pPr>
        <w:ind w:left="720"/>
        <w:rPr>
          <w:szCs w:val="24"/>
        </w:rPr>
      </w:pPr>
    </w:p>
    <w:p w:rsidR="006E1A40" w:rsidRDefault="006E1A40" w:rsidP="006E1A40">
      <w:pPr>
        <w:ind w:left="720"/>
        <w:rPr>
          <w:b/>
          <w:sz w:val="22"/>
          <w:szCs w:val="22"/>
        </w:rPr>
      </w:pPr>
      <w:r w:rsidRPr="00C92E34">
        <w:rPr>
          <w:b/>
          <w:sz w:val="22"/>
          <w:szCs w:val="22"/>
        </w:rPr>
        <w:t>Level 1</w:t>
      </w:r>
    </w:p>
    <w:p w:rsidR="006E1A40" w:rsidRDefault="006E1A40" w:rsidP="006E1A40">
      <w:pPr>
        <w:ind w:left="720"/>
        <w:rPr>
          <w:b/>
          <w:sz w:val="22"/>
          <w:szCs w:val="22"/>
        </w:rPr>
      </w:pPr>
    </w:p>
    <w:p w:rsidR="006E1A40" w:rsidRDefault="006E1A40" w:rsidP="006E1A40">
      <w:pPr>
        <w:ind w:left="720"/>
        <w:rPr>
          <w:szCs w:val="24"/>
        </w:rPr>
      </w:pPr>
      <w:r w:rsidRPr="000637CA">
        <w:rPr>
          <w:szCs w:val="24"/>
        </w:rPr>
        <w:t>Level 1 fair value measurements are those derived from unadjusted quoted prices in active markets for identical assets or liabilities.  Products classified as level 1 comprise quoted equities, quoted fixed securities, quoted index linked securities and unit trusts.</w:t>
      </w:r>
    </w:p>
    <w:p w:rsidR="006E1A40" w:rsidRPr="000637CA" w:rsidRDefault="006E1A40" w:rsidP="006E1A40">
      <w:pPr>
        <w:ind w:left="720"/>
        <w:rPr>
          <w:szCs w:val="24"/>
        </w:rPr>
      </w:pPr>
    </w:p>
    <w:p w:rsidR="006E1A40" w:rsidRDefault="006E1A40" w:rsidP="006E1A40">
      <w:pPr>
        <w:ind w:left="720"/>
        <w:rPr>
          <w:szCs w:val="24"/>
        </w:rPr>
      </w:pPr>
      <w:r w:rsidRPr="000637CA">
        <w:rPr>
          <w:szCs w:val="24"/>
        </w:rPr>
        <w:t>Listed investments are shown at bid prices.  The bid value of the investment is based on the bid market quotation of the relevant stock exchange.</w:t>
      </w:r>
    </w:p>
    <w:p w:rsidR="006E1A40" w:rsidRDefault="006E1A40" w:rsidP="006E1A40">
      <w:pPr>
        <w:ind w:left="720"/>
        <w:rPr>
          <w:szCs w:val="24"/>
        </w:rPr>
      </w:pPr>
    </w:p>
    <w:p w:rsidR="00701F50" w:rsidRDefault="00701F50" w:rsidP="006E1A40">
      <w:pPr>
        <w:ind w:left="720"/>
        <w:rPr>
          <w:szCs w:val="24"/>
        </w:rPr>
      </w:pPr>
    </w:p>
    <w:p w:rsidR="00701F50" w:rsidRDefault="00701F50" w:rsidP="006E1A40">
      <w:pPr>
        <w:ind w:left="720"/>
        <w:rPr>
          <w:szCs w:val="24"/>
        </w:rPr>
      </w:pPr>
    </w:p>
    <w:p w:rsidR="00701F50" w:rsidRDefault="00701F50" w:rsidP="006E1A40">
      <w:pPr>
        <w:ind w:left="720"/>
        <w:rPr>
          <w:szCs w:val="24"/>
        </w:rPr>
      </w:pPr>
    </w:p>
    <w:p w:rsidR="008846ED" w:rsidRDefault="008846ED" w:rsidP="006E1A40">
      <w:pPr>
        <w:ind w:left="720"/>
        <w:rPr>
          <w:szCs w:val="24"/>
        </w:rPr>
      </w:pPr>
    </w:p>
    <w:p w:rsidR="008846ED" w:rsidRPr="000637CA" w:rsidRDefault="008846ED" w:rsidP="006E1A40">
      <w:pPr>
        <w:ind w:left="720"/>
        <w:rPr>
          <w:szCs w:val="24"/>
        </w:rPr>
      </w:pPr>
    </w:p>
    <w:p w:rsidR="006E1A40" w:rsidRDefault="006E1A40" w:rsidP="006E1A40">
      <w:pPr>
        <w:ind w:left="720"/>
        <w:rPr>
          <w:b/>
          <w:sz w:val="22"/>
          <w:szCs w:val="22"/>
        </w:rPr>
      </w:pPr>
      <w:r w:rsidRPr="00B94BBC">
        <w:rPr>
          <w:b/>
          <w:sz w:val="22"/>
          <w:szCs w:val="22"/>
        </w:rPr>
        <w:lastRenderedPageBreak/>
        <w:t>Level 2</w:t>
      </w:r>
    </w:p>
    <w:p w:rsidR="006E1A40" w:rsidRPr="00B94BBC" w:rsidRDefault="006E1A40" w:rsidP="006E1A40">
      <w:pPr>
        <w:ind w:left="720"/>
        <w:rPr>
          <w:b/>
          <w:sz w:val="22"/>
          <w:szCs w:val="22"/>
        </w:rPr>
      </w:pPr>
    </w:p>
    <w:p w:rsidR="00CD72BB" w:rsidRDefault="00670114" w:rsidP="006E1A40">
      <w:pPr>
        <w:ind w:left="720"/>
        <w:rPr>
          <w:szCs w:val="24"/>
        </w:rPr>
      </w:pPr>
      <w:r w:rsidRPr="00670114">
        <w:rPr>
          <w:szCs w:val="24"/>
        </w:rPr>
        <w:t xml:space="preserve">Level 2 investments are those where quoted market prices are not available, for example where an instrument is traded in a market that is not considered to be active or valuation </w:t>
      </w:r>
    </w:p>
    <w:p w:rsidR="004931DF" w:rsidRPr="004350BB" w:rsidRDefault="00670114" w:rsidP="006E1A40">
      <w:pPr>
        <w:ind w:left="720"/>
        <w:rPr>
          <w:szCs w:val="24"/>
        </w:rPr>
      </w:pPr>
      <w:proofErr w:type="gramStart"/>
      <w:r w:rsidRPr="00670114">
        <w:rPr>
          <w:szCs w:val="24"/>
        </w:rPr>
        <w:t>techniques</w:t>
      </w:r>
      <w:proofErr w:type="gramEnd"/>
      <w:r w:rsidRPr="00670114">
        <w:rPr>
          <w:szCs w:val="24"/>
        </w:rPr>
        <w:t xml:space="preserve"> are used to determine fair value and where these techniques use inputs that are based significantly on observable market data.  </w:t>
      </w:r>
    </w:p>
    <w:p w:rsidR="004931DF" w:rsidRDefault="00670114" w:rsidP="006E1A40">
      <w:pPr>
        <w:ind w:left="720"/>
        <w:rPr>
          <w:szCs w:val="24"/>
        </w:rPr>
      </w:pPr>
      <w:r w:rsidRPr="00670114">
        <w:rPr>
          <w:szCs w:val="24"/>
        </w:rPr>
        <w:t>*This investment class comprises of credit funds which in 11/12 were classified as level 1.    Th</w:t>
      </w:r>
      <w:r w:rsidR="004350BB">
        <w:rPr>
          <w:szCs w:val="24"/>
        </w:rPr>
        <w:t>e</w:t>
      </w:r>
      <w:r w:rsidRPr="00670114">
        <w:rPr>
          <w:szCs w:val="24"/>
        </w:rPr>
        <w:t xml:space="preserve"> technique </w:t>
      </w:r>
      <w:r w:rsidR="004350BB">
        <w:rPr>
          <w:szCs w:val="24"/>
        </w:rPr>
        <w:t xml:space="preserve">for valuing these assets </w:t>
      </w:r>
      <w:r w:rsidRPr="00670114">
        <w:rPr>
          <w:szCs w:val="24"/>
        </w:rPr>
        <w:t>is independently verified</w:t>
      </w:r>
      <w:r w:rsidR="004350BB">
        <w:rPr>
          <w:szCs w:val="24"/>
        </w:rPr>
        <w:t>.</w:t>
      </w:r>
    </w:p>
    <w:p w:rsidR="00EE2607" w:rsidRDefault="00EE2607" w:rsidP="006E1A40">
      <w:pPr>
        <w:ind w:left="720"/>
        <w:rPr>
          <w:b/>
          <w:sz w:val="22"/>
          <w:szCs w:val="22"/>
        </w:rPr>
      </w:pPr>
    </w:p>
    <w:p w:rsidR="006E1A40" w:rsidRDefault="006E1A40" w:rsidP="006E1A40">
      <w:pPr>
        <w:ind w:left="720"/>
        <w:rPr>
          <w:b/>
          <w:sz w:val="22"/>
          <w:szCs w:val="22"/>
        </w:rPr>
      </w:pPr>
      <w:r w:rsidRPr="00B94BBC">
        <w:rPr>
          <w:b/>
          <w:sz w:val="22"/>
          <w:szCs w:val="22"/>
        </w:rPr>
        <w:t>Level 3</w:t>
      </w:r>
    </w:p>
    <w:p w:rsidR="006E1A40" w:rsidRPr="00B94BBC" w:rsidRDefault="006E1A40" w:rsidP="006E1A40">
      <w:pPr>
        <w:ind w:left="720"/>
        <w:rPr>
          <w:b/>
          <w:sz w:val="22"/>
          <w:szCs w:val="22"/>
        </w:rPr>
      </w:pPr>
    </w:p>
    <w:p w:rsidR="006E1A40" w:rsidRPr="00CD7BF3" w:rsidRDefault="00670114" w:rsidP="006E1A40">
      <w:pPr>
        <w:ind w:left="720"/>
        <w:rPr>
          <w:szCs w:val="24"/>
        </w:rPr>
      </w:pPr>
      <w:r w:rsidRPr="00670114">
        <w:rPr>
          <w:szCs w:val="24"/>
        </w:rPr>
        <w:t>Level 3 portfolios are those where at least one input which could have a significant effect on the instrument's valuation is not based on observable market data.  Such instruments would include private equity, infrastructure, local authority bonds and indirect overseas property investments, which are valued using various valuation techniques that require significant management judgement in determining appropriate assumptions, including earnings, public market comparables and estimated future cash flows.</w:t>
      </w:r>
    </w:p>
    <w:p w:rsidR="006E1A40" w:rsidRPr="0030136A" w:rsidRDefault="006E1A40" w:rsidP="006E1A40">
      <w:pPr>
        <w:ind w:left="720"/>
        <w:rPr>
          <w:sz w:val="22"/>
          <w:szCs w:val="22"/>
          <w:highlight w:val="yellow"/>
        </w:rPr>
      </w:pPr>
    </w:p>
    <w:p w:rsidR="006E1A40" w:rsidRDefault="00670114" w:rsidP="006E1A40">
      <w:pPr>
        <w:ind w:left="720"/>
        <w:rPr>
          <w:szCs w:val="24"/>
        </w:rPr>
      </w:pPr>
      <w:r w:rsidRPr="00670114">
        <w:rPr>
          <w:szCs w:val="24"/>
        </w:rPr>
        <w:t>The values of the investment in private equity and infrastructure are based on valuations provided to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Valuations are performed annually mainly, and at the end of December.  Cash flow adjustments are used to roll forward the valuations to 31 March as appropriate.</w:t>
      </w:r>
    </w:p>
    <w:p w:rsidR="00CD7BF3" w:rsidRDefault="00CD7BF3" w:rsidP="006E1A40">
      <w:pPr>
        <w:ind w:left="720"/>
        <w:rPr>
          <w:szCs w:val="24"/>
        </w:rPr>
      </w:pPr>
    </w:p>
    <w:p w:rsidR="00897DBF" w:rsidRDefault="00670114">
      <w:pPr>
        <w:autoSpaceDE w:val="0"/>
        <w:autoSpaceDN w:val="0"/>
        <w:ind w:left="709"/>
        <w:rPr>
          <w:sz w:val="22"/>
          <w:szCs w:val="22"/>
        </w:rPr>
      </w:pPr>
      <w:r w:rsidRPr="00670114">
        <w:rPr>
          <w:szCs w:val="24"/>
        </w:rPr>
        <w:t xml:space="preserve">The overseas indirect property fund </w:t>
      </w:r>
      <w:r w:rsidR="00CD7BF3">
        <w:rPr>
          <w:szCs w:val="24"/>
        </w:rPr>
        <w:t xml:space="preserve">is valued monthly by external valuers, CB Richard Ellis (CBRE). CBRE are one of the largest firms of valuers in Europe, and are required to ensure that the assets in the Fund are valued each month at the current open market value, as defined by the RICS Appraisal and Valuation Standards. </w:t>
      </w:r>
      <w:r w:rsidR="00CD7BF3">
        <w:t>The valuation methodology is also subject to independent review by E&amp;Y.</w:t>
      </w:r>
    </w:p>
    <w:p w:rsidR="003444A0" w:rsidRDefault="003444A0" w:rsidP="006E1A40">
      <w:pPr>
        <w:ind w:left="720"/>
        <w:rPr>
          <w:szCs w:val="24"/>
        </w:rPr>
      </w:pPr>
    </w:p>
    <w:p w:rsidR="00DB7E82" w:rsidRDefault="00670114" w:rsidP="006E1A40">
      <w:pPr>
        <w:ind w:left="720"/>
        <w:rPr>
          <w:szCs w:val="24"/>
        </w:rPr>
      </w:pPr>
      <w:r w:rsidRPr="00670114">
        <w:rPr>
          <w:szCs w:val="24"/>
        </w:rPr>
        <w:t xml:space="preserve">The </w:t>
      </w:r>
      <w:r w:rsidR="00701BA6">
        <w:rPr>
          <w:szCs w:val="24"/>
        </w:rPr>
        <w:t>l</w:t>
      </w:r>
      <w:r w:rsidRPr="00670114">
        <w:rPr>
          <w:szCs w:val="24"/>
        </w:rPr>
        <w:t>ocal authority bond value is based on</w:t>
      </w:r>
      <w:r w:rsidR="00701BA6">
        <w:rPr>
          <w:szCs w:val="24"/>
        </w:rPr>
        <w:t xml:space="preserve"> a valuation technique that requires management judgement including earning multiples, public market comparables and estimated future cash flows.</w:t>
      </w:r>
    </w:p>
    <w:p w:rsidR="00DB7E82" w:rsidRPr="000637CA" w:rsidRDefault="00DB7E82" w:rsidP="006E1A40">
      <w:pPr>
        <w:ind w:left="720"/>
        <w:rPr>
          <w:szCs w:val="24"/>
        </w:rPr>
      </w:pPr>
    </w:p>
    <w:p w:rsidR="006E1A40" w:rsidRDefault="006E1A40" w:rsidP="006E1A40">
      <w:pPr>
        <w:ind w:left="720"/>
        <w:rPr>
          <w:szCs w:val="24"/>
        </w:rPr>
      </w:pPr>
      <w:r w:rsidRPr="000637CA">
        <w:rPr>
          <w:szCs w:val="24"/>
        </w:rPr>
        <w:t>The table below provides an analysis of the financial assets and liabilities of the Pension Fund grouped into level 1 to 3 based on the level of which the fair value is observable.</w:t>
      </w:r>
    </w:p>
    <w:p w:rsidR="004B380D" w:rsidRDefault="004B380D" w:rsidP="006E1A40">
      <w:pPr>
        <w:ind w:left="720"/>
        <w:rPr>
          <w:szCs w:val="24"/>
        </w:rPr>
      </w:pPr>
    </w:p>
    <w:p w:rsidR="006E1A40" w:rsidRDefault="006E1A40" w:rsidP="006E1A40">
      <w:pPr>
        <w:ind w:left="720"/>
        <w:rPr>
          <w:szCs w:val="24"/>
        </w:rPr>
      </w:pPr>
    </w:p>
    <w:tbl>
      <w:tblPr>
        <w:tblStyle w:val="TableGrid"/>
        <w:tblW w:w="10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41"/>
        <w:gridCol w:w="1276"/>
        <w:gridCol w:w="284"/>
        <w:gridCol w:w="425"/>
        <w:gridCol w:w="992"/>
        <w:gridCol w:w="142"/>
        <w:gridCol w:w="961"/>
        <w:gridCol w:w="488"/>
        <w:gridCol w:w="110"/>
        <w:gridCol w:w="851"/>
        <w:gridCol w:w="567"/>
        <w:gridCol w:w="141"/>
        <w:gridCol w:w="709"/>
      </w:tblGrid>
      <w:tr w:rsidR="006E1A40" w:rsidRPr="00FB0F1F" w:rsidTr="003444A0">
        <w:trPr>
          <w:gridAfter w:val="1"/>
          <w:wAfter w:w="709" w:type="dxa"/>
        </w:trPr>
        <w:tc>
          <w:tcPr>
            <w:tcW w:w="3357" w:type="dxa"/>
            <w:gridSpan w:val="2"/>
          </w:tcPr>
          <w:p w:rsidR="006E1A40" w:rsidRPr="00FB0F1F" w:rsidRDefault="006E1A40" w:rsidP="006E1A40">
            <w:pPr>
              <w:jc w:val="center"/>
              <w:rPr>
                <w:b/>
                <w:szCs w:val="24"/>
              </w:rPr>
            </w:pPr>
            <w:r>
              <w:rPr>
                <w:b/>
                <w:szCs w:val="24"/>
              </w:rPr>
              <w:t>2013</w:t>
            </w:r>
          </w:p>
        </w:tc>
        <w:tc>
          <w:tcPr>
            <w:tcW w:w="1276" w:type="dxa"/>
          </w:tcPr>
          <w:p w:rsidR="006E1A40" w:rsidRPr="00FB0F1F" w:rsidRDefault="006E1A40" w:rsidP="006E1A40">
            <w:pPr>
              <w:jc w:val="right"/>
              <w:rPr>
                <w:b/>
                <w:szCs w:val="24"/>
              </w:rPr>
            </w:pPr>
            <w:r>
              <w:rPr>
                <w:b/>
                <w:szCs w:val="24"/>
              </w:rPr>
              <w:t>Level 1</w:t>
            </w:r>
          </w:p>
        </w:tc>
        <w:tc>
          <w:tcPr>
            <w:tcW w:w="1701" w:type="dxa"/>
            <w:gridSpan w:val="3"/>
          </w:tcPr>
          <w:p w:rsidR="006E1A40" w:rsidRPr="00FB0F1F" w:rsidRDefault="006E1A40" w:rsidP="006E1A40">
            <w:pPr>
              <w:jc w:val="right"/>
              <w:rPr>
                <w:b/>
                <w:szCs w:val="24"/>
              </w:rPr>
            </w:pPr>
            <w:r>
              <w:rPr>
                <w:b/>
                <w:szCs w:val="24"/>
              </w:rPr>
              <w:t>Level 2</w:t>
            </w:r>
          </w:p>
        </w:tc>
        <w:tc>
          <w:tcPr>
            <w:tcW w:w="1701" w:type="dxa"/>
            <w:gridSpan w:val="4"/>
          </w:tcPr>
          <w:p w:rsidR="006E1A40" w:rsidRPr="00FB0F1F" w:rsidRDefault="006E1A40" w:rsidP="006E1A40">
            <w:pPr>
              <w:jc w:val="right"/>
              <w:rPr>
                <w:b/>
                <w:szCs w:val="24"/>
              </w:rPr>
            </w:pPr>
            <w:r>
              <w:rPr>
                <w:b/>
                <w:szCs w:val="24"/>
              </w:rPr>
              <w:t>Level 3</w:t>
            </w:r>
          </w:p>
        </w:tc>
        <w:tc>
          <w:tcPr>
            <w:tcW w:w="1559" w:type="dxa"/>
            <w:gridSpan w:val="3"/>
          </w:tcPr>
          <w:p w:rsidR="00897DBF" w:rsidRDefault="006E1A40">
            <w:pPr>
              <w:tabs>
                <w:tab w:val="left" w:pos="603"/>
              </w:tabs>
              <w:jc w:val="right"/>
              <w:rPr>
                <w:b/>
                <w:szCs w:val="24"/>
              </w:rPr>
            </w:pPr>
            <w:r>
              <w:rPr>
                <w:b/>
                <w:szCs w:val="24"/>
              </w:rPr>
              <w:t>Total</w:t>
            </w:r>
          </w:p>
        </w:tc>
      </w:tr>
      <w:tr w:rsidR="006E1A40" w:rsidRPr="00FB0F1F" w:rsidTr="003444A0">
        <w:trPr>
          <w:gridAfter w:val="1"/>
          <w:wAfter w:w="709" w:type="dxa"/>
        </w:trPr>
        <w:tc>
          <w:tcPr>
            <w:tcW w:w="3357" w:type="dxa"/>
            <w:gridSpan w:val="2"/>
          </w:tcPr>
          <w:p w:rsidR="006E1A40" w:rsidRPr="00FB0F1F" w:rsidRDefault="006E1A40" w:rsidP="006E1A40">
            <w:pPr>
              <w:rPr>
                <w:b/>
                <w:szCs w:val="24"/>
              </w:rPr>
            </w:pPr>
          </w:p>
        </w:tc>
        <w:tc>
          <w:tcPr>
            <w:tcW w:w="1276" w:type="dxa"/>
          </w:tcPr>
          <w:p w:rsidR="006E1A40" w:rsidRPr="00FB0F1F" w:rsidRDefault="006E1A40" w:rsidP="006E1A40">
            <w:pPr>
              <w:jc w:val="right"/>
              <w:rPr>
                <w:b/>
                <w:szCs w:val="24"/>
              </w:rPr>
            </w:pPr>
            <w:r>
              <w:rPr>
                <w:b/>
                <w:szCs w:val="24"/>
              </w:rPr>
              <w:t>£m</w:t>
            </w:r>
          </w:p>
        </w:tc>
        <w:tc>
          <w:tcPr>
            <w:tcW w:w="1701" w:type="dxa"/>
            <w:gridSpan w:val="3"/>
          </w:tcPr>
          <w:p w:rsidR="006E1A40" w:rsidRPr="00FB0F1F" w:rsidRDefault="006E1A40" w:rsidP="006E1A40">
            <w:pPr>
              <w:jc w:val="right"/>
              <w:rPr>
                <w:b/>
                <w:szCs w:val="24"/>
              </w:rPr>
            </w:pPr>
            <w:r>
              <w:rPr>
                <w:b/>
                <w:szCs w:val="24"/>
              </w:rPr>
              <w:t>£m</w:t>
            </w:r>
          </w:p>
        </w:tc>
        <w:tc>
          <w:tcPr>
            <w:tcW w:w="1701" w:type="dxa"/>
            <w:gridSpan w:val="4"/>
          </w:tcPr>
          <w:p w:rsidR="006E1A40" w:rsidRPr="00FB0F1F" w:rsidRDefault="006E1A40" w:rsidP="006E1A40">
            <w:pPr>
              <w:jc w:val="right"/>
              <w:rPr>
                <w:b/>
                <w:szCs w:val="24"/>
              </w:rPr>
            </w:pPr>
            <w:r>
              <w:rPr>
                <w:b/>
                <w:szCs w:val="24"/>
              </w:rPr>
              <w:t>£m</w:t>
            </w:r>
          </w:p>
        </w:tc>
        <w:tc>
          <w:tcPr>
            <w:tcW w:w="1559" w:type="dxa"/>
            <w:gridSpan w:val="3"/>
          </w:tcPr>
          <w:p w:rsidR="00897DBF" w:rsidRDefault="006E1A40">
            <w:pPr>
              <w:tabs>
                <w:tab w:val="left" w:pos="603"/>
              </w:tabs>
              <w:jc w:val="right"/>
              <w:rPr>
                <w:b/>
                <w:szCs w:val="24"/>
              </w:rPr>
            </w:pPr>
            <w:r>
              <w:rPr>
                <w:b/>
                <w:szCs w:val="24"/>
              </w:rPr>
              <w:t>£m</w:t>
            </w:r>
          </w:p>
        </w:tc>
      </w:tr>
      <w:tr w:rsidR="006E1A40" w:rsidTr="003444A0">
        <w:trPr>
          <w:gridAfter w:val="1"/>
          <w:wAfter w:w="709" w:type="dxa"/>
        </w:trPr>
        <w:tc>
          <w:tcPr>
            <w:tcW w:w="3357" w:type="dxa"/>
            <w:gridSpan w:val="2"/>
          </w:tcPr>
          <w:p w:rsidR="006E1A40" w:rsidRPr="002903B7" w:rsidRDefault="006E1A40" w:rsidP="006E1A40">
            <w:pPr>
              <w:spacing w:after="120"/>
              <w:rPr>
                <w:b/>
                <w:szCs w:val="24"/>
              </w:rPr>
            </w:pPr>
            <w:r w:rsidRPr="002903B7">
              <w:rPr>
                <w:b/>
                <w:szCs w:val="24"/>
              </w:rPr>
              <w:t>Financial assets</w:t>
            </w:r>
          </w:p>
        </w:tc>
        <w:tc>
          <w:tcPr>
            <w:tcW w:w="1276" w:type="dxa"/>
          </w:tcPr>
          <w:p w:rsidR="006E1A40" w:rsidRDefault="006E1A40" w:rsidP="006E1A40">
            <w:pPr>
              <w:spacing w:after="120"/>
              <w:jc w:val="right"/>
              <w:rPr>
                <w:szCs w:val="24"/>
              </w:rPr>
            </w:pPr>
          </w:p>
        </w:tc>
        <w:tc>
          <w:tcPr>
            <w:tcW w:w="1701" w:type="dxa"/>
            <w:gridSpan w:val="3"/>
          </w:tcPr>
          <w:p w:rsidR="006E1A40" w:rsidRDefault="006E1A40" w:rsidP="006E1A40">
            <w:pPr>
              <w:spacing w:after="120"/>
              <w:jc w:val="right"/>
              <w:rPr>
                <w:szCs w:val="24"/>
              </w:rPr>
            </w:pPr>
          </w:p>
        </w:tc>
        <w:tc>
          <w:tcPr>
            <w:tcW w:w="1701" w:type="dxa"/>
            <w:gridSpan w:val="4"/>
          </w:tcPr>
          <w:p w:rsidR="006E1A40" w:rsidRDefault="006E1A40" w:rsidP="006E1A40">
            <w:pPr>
              <w:spacing w:after="120"/>
              <w:jc w:val="right"/>
              <w:rPr>
                <w:szCs w:val="24"/>
              </w:rPr>
            </w:pPr>
          </w:p>
        </w:tc>
        <w:tc>
          <w:tcPr>
            <w:tcW w:w="1559" w:type="dxa"/>
            <w:gridSpan w:val="3"/>
          </w:tcPr>
          <w:p w:rsidR="00897DBF" w:rsidRDefault="00897DBF">
            <w:pPr>
              <w:tabs>
                <w:tab w:val="left" w:pos="603"/>
              </w:tabs>
              <w:spacing w:after="120"/>
              <w:jc w:val="right"/>
              <w:rPr>
                <w:szCs w:val="24"/>
              </w:rPr>
            </w:pPr>
          </w:p>
        </w:tc>
      </w:tr>
      <w:tr w:rsidR="006E1A40" w:rsidRPr="00CA707F" w:rsidTr="003444A0">
        <w:trPr>
          <w:gridAfter w:val="1"/>
          <w:wAfter w:w="709" w:type="dxa"/>
        </w:trPr>
        <w:tc>
          <w:tcPr>
            <w:tcW w:w="3357" w:type="dxa"/>
            <w:gridSpan w:val="2"/>
          </w:tcPr>
          <w:p w:rsidR="006E1A40" w:rsidRPr="00CA707F" w:rsidRDefault="006E1A40" w:rsidP="006E1A40">
            <w:pPr>
              <w:spacing w:after="120"/>
              <w:rPr>
                <w:szCs w:val="24"/>
              </w:rPr>
            </w:pPr>
            <w:r>
              <w:rPr>
                <w:szCs w:val="24"/>
              </w:rPr>
              <w:t>Financial assets at fair value through profit and loss</w:t>
            </w:r>
          </w:p>
        </w:tc>
        <w:tc>
          <w:tcPr>
            <w:tcW w:w="1276" w:type="dxa"/>
          </w:tcPr>
          <w:p w:rsidR="001E5D39" w:rsidRDefault="0030136A">
            <w:pPr>
              <w:spacing w:after="120"/>
              <w:jc w:val="right"/>
              <w:rPr>
                <w:szCs w:val="24"/>
              </w:rPr>
            </w:pPr>
            <w:r>
              <w:rPr>
                <w:szCs w:val="24"/>
              </w:rPr>
              <w:t>3</w:t>
            </w:r>
            <w:r w:rsidR="006E1A40">
              <w:rPr>
                <w:szCs w:val="24"/>
              </w:rPr>
              <w:t>,</w:t>
            </w:r>
            <w:r>
              <w:rPr>
                <w:szCs w:val="24"/>
              </w:rPr>
              <w:t>553.0</w:t>
            </w:r>
          </w:p>
        </w:tc>
        <w:tc>
          <w:tcPr>
            <w:tcW w:w="1701" w:type="dxa"/>
            <w:gridSpan w:val="3"/>
          </w:tcPr>
          <w:p w:rsidR="006E1A40" w:rsidRPr="00CA707F" w:rsidRDefault="0030136A" w:rsidP="006E1A40">
            <w:pPr>
              <w:spacing w:after="120"/>
              <w:jc w:val="right"/>
              <w:rPr>
                <w:szCs w:val="24"/>
              </w:rPr>
            </w:pPr>
            <w:r>
              <w:rPr>
                <w:szCs w:val="24"/>
              </w:rPr>
              <w:t>424.0</w:t>
            </w:r>
          </w:p>
        </w:tc>
        <w:tc>
          <w:tcPr>
            <w:tcW w:w="1701" w:type="dxa"/>
            <w:gridSpan w:val="4"/>
          </w:tcPr>
          <w:p w:rsidR="006E1A40" w:rsidRPr="00CA707F" w:rsidRDefault="0030136A" w:rsidP="006E1A40">
            <w:pPr>
              <w:spacing w:after="120"/>
              <w:jc w:val="right"/>
              <w:rPr>
                <w:szCs w:val="24"/>
              </w:rPr>
            </w:pPr>
            <w:r>
              <w:rPr>
                <w:szCs w:val="24"/>
              </w:rPr>
              <w:t>408.5</w:t>
            </w:r>
          </w:p>
        </w:tc>
        <w:tc>
          <w:tcPr>
            <w:tcW w:w="1559" w:type="dxa"/>
            <w:gridSpan w:val="3"/>
          </w:tcPr>
          <w:p w:rsidR="00897DBF" w:rsidRDefault="006E1A40">
            <w:pPr>
              <w:tabs>
                <w:tab w:val="left" w:pos="603"/>
              </w:tabs>
              <w:spacing w:after="120"/>
              <w:jc w:val="right"/>
              <w:rPr>
                <w:szCs w:val="24"/>
              </w:rPr>
            </w:pPr>
            <w:r>
              <w:rPr>
                <w:szCs w:val="24"/>
              </w:rPr>
              <w:t>4,385.5</w:t>
            </w:r>
          </w:p>
        </w:tc>
      </w:tr>
      <w:tr w:rsidR="006E1A40" w:rsidRPr="00CA707F" w:rsidTr="003444A0">
        <w:trPr>
          <w:gridAfter w:val="1"/>
          <w:wAfter w:w="709" w:type="dxa"/>
        </w:trPr>
        <w:tc>
          <w:tcPr>
            <w:tcW w:w="3357" w:type="dxa"/>
            <w:gridSpan w:val="2"/>
          </w:tcPr>
          <w:p w:rsidR="006E1A40" w:rsidRDefault="006E1A40" w:rsidP="006E1A40">
            <w:pPr>
              <w:spacing w:after="120"/>
              <w:rPr>
                <w:szCs w:val="24"/>
              </w:rPr>
            </w:pPr>
            <w:r>
              <w:rPr>
                <w:szCs w:val="24"/>
              </w:rPr>
              <w:t>Loans and Receivables</w:t>
            </w:r>
          </w:p>
        </w:tc>
        <w:tc>
          <w:tcPr>
            <w:tcW w:w="1276" w:type="dxa"/>
          </w:tcPr>
          <w:p w:rsidR="006E1A40" w:rsidRPr="00CA707F" w:rsidRDefault="006E1A40" w:rsidP="006E1A40">
            <w:pPr>
              <w:spacing w:after="120"/>
              <w:jc w:val="right"/>
              <w:rPr>
                <w:szCs w:val="24"/>
              </w:rPr>
            </w:pPr>
            <w:r>
              <w:rPr>
                <w:szCs w:val="24"/>
              </w:rPr>
              <w:t>202.2</w:t>
            </w:r>
          </w:p>
        </w:tc>
        <w:tc>
          <w:tcPr>
            <w:tcW w:w="1701" w:type="dxa"/>
            <w:gridSpan w:val="3"/>
          </w:tcPr>
          <w:p w:rsidR="006E1A40" w:rsidRPr="00CA707F" w:rsidRDefault="006E1A40" w:rsidP="006E1A40">
            <w:pPr>
              <w:spacing w:after="120"/>
              <w:jc w:val="right"/>
              <w:rPr>
                <w:szCs w:val="24"/>
              </w:rPr>
            </w:pPr>
            <w:r>
              <w:rPr>
                <w:szCs w:val="24"/>
              </w:rPr>
              <w:t>-</w:t>
            </w:r>
          </w:p>
        </w:tc>
        <w:tc>
          <w:tcPr>
            <w:tcW w:w="1701" w:type="dxa"/>
            <w:gridSpan w:val="4"/>
          </w:tcPr>
          <w:p w:rsidR="006E1A40" w:rsidRPr="00CA707F" w:rsidRDefault="006E1A40" w:rsidP="006E1A40">
            <w:pPr>
              <w:spacing w:after="120"/>
              <w:jc w:val="right"/>
              <w:rPr>
                <w:szCs w:val="24"/>
              </w:rPr>
            </w:pPr>
            <w:r>
              <w:rPr>
                <w:szCs w:val="24"/>
              </w:rPr>
              <w:t>-</w:t>
            </w:r>
          </w:p>
        </w:tc>
        <w:tc>
          <w:tcPr>
            <w:tcW w:w="1559" w:type="dxa"/>
            <w:gridSpan w:val="3"/>
          </w:tcPr>
          <w:p w:rsidR="00897DBF" w:rsidRDefault="006E1A40">
            <w:pPr>
              <w:tabs>
                <w:tab w:val="left" w:pos="603"/>
              </w:tabs>
              <w:spacing w:after="120"/>
              <w:jc w:val="right"/>
              <w:rPr>
                <w:szCs w:val="24"/>
              </w:rPr>
            </w:pPr>
            <w:r>
              <w:rPr>
                <w:szCs w:val="24"/>
              </w:rPr>
              <w:t>202.2</w:t>
            </w:r>
          </w:p>
        </w:tc>
      </w:tr>
      <w:tr w:rsidR="006E1A40" w:rsidRPr="00CA707F" w:rsidTr="003444A0">
        <w:trPr>
          <w:gridAfter w:val="1"/>
          <w:wAfter w:w="709" w:type="dxa"/>
        </w:trPr>
        <w:tc>
          <w:tcPr>
            <w:tcW w:w="3357" w:type="dxa"/>
            <w:gridSpan w:val="2"/>
          </w:tcPr>
          <w:p w:rsidR="006E1A40" w:rsidRPr="00CA707F" w:rsidRDefault="006E1A40" w:rsidP="006E1A40">
            <w:pPr>
              <w:spacing w:after="360"/>
              <w:rPr>
                <w:b/>
                <w:szCs w:val="24"/>
              </w:rPr>
            </w:pPr>
            <w:r w:rsidRPr="00CA707F">
              <w:rPr>
                <w:b/>
                <w:szCs w:val="24"/>
              </w:rPr>
              <w:t>Total Financial assets</w:t>
            </w:r>
          </w:p>
        </w:tc>
        <w:tc>
          <w:tcPr>
            <w:tcW w:w="1276" w:type="dxa"/>
          </w:tcPr>
          <w:p w:rsidR="006E1A40" w:rsidRPr="00CA707F" w:rsidRDefault="0030136A" w:rsidP="006E1A40">
            <w:pPr>
              <w:spacing w:after="120"/>
              <w:jc w:val="right"/>
              <w:rPr>
                <w:b/>
                <w:szCs w:val="24"/>
              </w:rPr>
            </w:pPr>
            <w:r>
              <w:rPr>
                <w:b/>
                <w:szCs w:val="24"/>
              </w:rPr>
              <w:t>3,755.2</w:t>
            </w:r>
          </w:p>
        </w:tc>
        <w:tc>
          <w:tcPr>
            <w:tcW w:w="1701" w:type="dxa"/>
            <w:gridSpan w:val="3"/>
          </w:tcPr>
          <w:p w:rsidR="006E1A40" w:rsidRPr="00CA707F" w:rsidRDefault="0030136A" w:rsidP="006E1A40">
            <w:pPr>
              <w:spacing w:after="120"/>
              <w:jc w:val="right"/>
              <w:rPr>
                <w:b/>
                <w:szCs w:val="24"/>
              </w:rPr>
            </w:pPr>
            <w:r>
              <w:rPr>
                <w:b/>
                <w:szCs w:val="24"/>
              </w:rPr>
              <w:t>424.0</w:t>
            </w:r>
          </w:p>
        </w:tc>
        <w:tc>
          <w:tcPr>
            <w:tcW w:w="1701" w:type="dxa"/>
            <w:gridSpan w:val="4"/>
          </w:tcPr>
          <w:p w:rsidR="006E1A40" w:rsidRPr="00CA707F" w:rsidRDefault="0030136A" w:rsidP="006E1A40">
            <w:pPr>
              <w:spacing w:after="120"/>
              <w:jc w:val="right"/>
              <w:rPr>
                <w:b/>
                <w:szCs w:val="24"/>
              </w:rPr>
            </w:pPr>
            <w:r>
              <w:rPr>
                <w:b/>
                <w:szCs w:val="24"/>
              </w:rPr>
              <w:t>408.5</w:t>
            </w:r>
          </w:p>
        </w:tc>
        <w:tc>
          <w:tcPr>
            <w:tcW w:w="1559" w:type="dxa"/>
            <w:gridSpan w:val="3"/>
          </w:tcPr>
          <w:p w:rsidR="00897DBF" w:rsidRDefault="006E1A40">
            <w:pPr>
              <w:tabs>
                <w:tab w:val="left" w:pos="603"/>
              </w:tabs>
              <w:spacing w:after="120"/>
              <w:jc w:val="right"/>
              <w:rPr>
                <w:b/>
                <w:szCs w:val="24"/>
              </w:rPr>
            </w:pPr>
            <w:r>
              <w:rPr>
                <w:b/>
                <w:szCs w:val="24"/>
              </w:rPr>
              <w:t>4,587.7</w:t>
            </w:r>
          </w:p>
        </w:tc>
      </w:tr>
      <w:tr w:rsidR="004B380D" w:rsidRPr="00CA707F" w:rsidTr="003444A0">
        <w:trPr>
          <w:gridAfter w:val="1"/>
          <w:wAfter w:w="709" w:type="dxa"/>
        </w:trPr>
        <w:tc>
          <w:tcPr>
            <w:tcW w:w="3357" w:type="dxa"/>
            <w:gridSpan w:val="2"/>
          </w:tcPr>
          <w:p w:rsidR="004B380D" w:rsidRDefault="004B380D" w:rsidP="006E1A40">
            <w:pPr>
              <w:spacing w:after="360"/>
              <w:rPr>
                <w:b/>
                <w:szCs w:val="24"/>
              </w:rPr>
            </w:pPr>
          </w:p>
          <w:p w:rsidR="004B380D" w:rsidRPr="00CA707F" w:rsidRDefault="004B380D" w:rsidP="006E1A40">
            <w:pPr>
              <w:spacing w:after="360"/>
              <w:rPr>
                <w:b/>
                <w:szCs w:val="24"/>
              </w:rPr>
            </w:pPr>
          </w:p>
        </w:tc>
        <w:tc>
          <w:tcPr>
            <w:tcW w:w="1276" w:type="dxa"/>
          </w:tcPr>
          <w:p w:rsidR="004B380D" w:rsidRDefault="004B380D" w:rsidP="006E1A40">
            <w:pPr>
              <w:spacing w:after="120"/>
              <w:jc w:val="right"/>
              <w:rPr>
                <w:b/>
                <w:szCs w:val="24"/>
              </w:rPr>
            </w:pPr>
          </w:p>
        </w:tc>
        <w:tc>
          <w:tcPr>
            <w:tcW w:w="1701" w:type="dxa"/>
            <w:gridSpan w:val="3"/>
          </w:tcPr>
          <w:p w:rsidR="004B380D" w:rsidRDefault="004B380D" w:rsidP="006E1A40">
            <w:pPr>
              <w:spacing w:after="120"/>
              <w:jc w:val="right"/>
              <w:rPr>
                <w:b/>
                <w:szCs w:val="24"/>
              </w:rPr>
            </w:pPr>
          </w:p>
        </w:tc>
        <w:tc>
          <w:tcPr>
            <w:tcW w:w="1701" w:type="dxa"/>
            <w:gridSpan w:val="4"/>
          </w:tcPr>
          <w:p w:rsidR="004B380D" w:rsidRDefault="004B380D" w:rsidP="006E1A40">
            <w:pPr>
              <w:spacing w:after="120"/>
              <w:jc w:val="right"/>
              <w:rPr>
                <w:b/>
                <w:szCs w:val="24"/>
              </w:rPr>
            </w:pPr>
          </w:p>
        </w:tc>
        <w:tc>
          <w:tcPr>
            <w:tcW w:w="1559" w:type="dxa"/>
            <w:gridSpan w:val="3"/>
          </w:tcPr>
          <w:p w:rsidR="004B380D" w:rsidRDefault="004B380D">
            <w:pPr>
              <w:tabs>
                <w:tab w:val="left" w:pos="603"/>
              </w:tabs>
              <w:spacing w:after="120"/>
              <w:jc w:val="right"/>
              <w:rPr>
                <w:b/>
                <w:szCs w:val="24"/>
              </w:rPr>
            </w:pPr>
          </w:p>
        </w:tc>
      </w:tr>
      <w:tr w:rsidR="006E1A40" w:rsidTr="00344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9" w:type="dxa"/>
        </w:trPr>
        <w:tc>
          <w:tcPr>
            <w:tcW w:w="3357" w:type="dxa"/>
            <w:gridSpan w:val="2"/>
            <w:tcBorders>
              <w:top w:val="nil"/>
              <w:left w:val="nil"/>
              <w:bottom w:val="nil"/>
              <w:right w:val="nil"/>
            </w:tcBorders>
          </w:tcPr>
          <w:p w:rsidR="006E1A40" w:rsidRPr="002903B7" w:rsidRDefault="006E1A40" w:rsidP="006E1A40">
            <w:pPr>
              <w:spacing w:after="120"/>
              <w:rPr>
                <w:b/>
                <w:szCs w:val="24"/>
              </w:rPr>
            </w:pPr>
            <w:r w:rsidRPr="002903B7">
              <w:rPr>
                <w:b/>
                <w:szCs w:val="24"/>
              </w:rPr>
              <w:lastRenderedPageBreak/>
              <w:t>Financial</w:t>
            </w:r>
            <w:r>
              <w:rPr>
                <w:b/>
                <w:szCs w:val="24"/>
              </w:rPr>
              <w:t xml:space="preserve"> Liabilities</w:t>
            </w:r>
          </w:p>
        </w:tc>
        <w:tc>
          <w:tcPr>
            <w:tcW w:w="1276" w:type="dxa"/>
            <w:tcBorders>
              <w:top w:val="nil"/>
              <w:left w:val="nil"/>
              <w:bottom w:val="nil"/>
              <w:right w:val="nil"/>
            </w:tcBorders>
          </w:tcPr>
          <w:p w:rsidR="006E1A40" w:rsidRDefault="006E1A40" w:rsidP="006E1A40">
            <w:pPr>
              <w:spacing w:after="120"/>
              <w:jc w:val="right"/>
              <w:rPr>
                <w:szCs w:val="24"/>
              </w:rPr>
            </w:pPr>
          </w:p>
        </w:tc>
        <w:tc>
          <w:tcPr>
            <w:tcW w:w="1701" w:type="dxa"/>
            <w:gridSpan w:val="3"/>
            <w:tcBorders>
              <w:top w:val="nil"/>
              <w:left w:val="nil"/>
              <w:bottom w:val="nil"/>
              <w:right w:val="nil"/>
            </w:tcBorders>
          </w:tcPr>
          <w:p w:rsidR="006E1A40" w:rsidRDefault="006E1A40" w:rsidP="006E1A40">
            <w:pPr>
              <w:spacing w:after="120"/>
              <w:jc w:val="right"/>
              <w:rPr>
                <w:szCs w:val="24"/>
              </w:rPr>
            </w:pPr>
          </w:p>
        </w:tc>
        <w:tc>
          <w:tcPr>
            <w:tcW w:w="1701" w:type="dxa"/>
            <w:gridSpan w:val="4"/>
            <w:tcBorders>
              <w:top w:val="nil"/>
              <w:left w:val="nil"/>
              <w:bottom w:val="nil"/>
              <w:right w:val="nil"/>
            </w:tcBorders>
          </w:tcPr>
          <w:p w:rsidR="006E1A40" w:rsidRDefault="006E1A40" w:rsidP="006E1A40">
            <w:pPr>
              <w:spacing w:after="120"/>
              <w:jc w:val="right"/>
              <w:rPr>
                <w:szCs w:val="24"/>
              </w:rPr>
            </w:pPr>
          </w:p>
        </w:tc>
        <w:tc>
          <w:tcPr>
            <w:tcW w:w="1559" w:type="dxa"/>
            <w:gridSpan w:val="3"/>
            <w:tcBorders>
              <w:top w:val="nil"/>
              <w:left w:val="nil"/>
              <w:bottom w:val="nil"/>
              <w:right w:val="nil"/>
            </w:tcBorders>
          </w:tcPr>
          <w:p w:rsidR="00897DBF" w:rsidRDefault="00897DBF">
            <w:pPr>
              <w:tabs>
                <w:tab w:val="left" w:pos="603"/>
              </w:tabs>
              <w:spacing w:after="120"/>
              <w:jc w:val="right"/>
              <w:rPr>
                <w:szCs w:val="24"/>
              </w:rPr>
            </w:pPr>
          </w:p>
        </w:tc>
      </w:tr>
      <w:tr w:rsidR="006E1A40" w:rsidRPr="00CA707F" w:rsidTr="00344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9" w:type="dxa"/>
        </w:trPr>
        <w:tc>
          <w:tcPr>
            <w:tcW w:w="3357" w:type="dxa"/>
            <w:gridSpan w:val="2"/>
            <w:tcBorders>
              <w:top w:val="nil"/>
              <w:left w:val="nil"/>
              <w:bottom w:val="nil"/>
              <w:right w:val="nil"/>
            </w:tcBorders>
          </w:tcPr>
          <w:p w:rsidR="006E1A40" w:rsidRPr="00CA707F" w:rsidRDefault="006E1A40" w:rsidP="006E1A40">
            <w:pPr>
              <w:spacing w:after="120"/>
              <w:rPr>
                <w:szCs w:val="24"/>
              </w:rPr>
            </w:pPr>
            <w:r>
              <w:rPr>
                <w:szCs w:val="24"/>
              </w:rPr>
              <w:t>Financial liabilities at fair value through profit and loss</w:t>
            </w:r>
          </w:p>
        </w:tc>
        <w:tc>
          <w:tcPr>
            <w:tcW w:w="1276" w:type="dxa"/>
            <w:tcBorders>
              <w:top w:val="nil"/>
              <w:left w:val="nil"/>
              <w:bottom w:val="nil"/>
              <w:right w:val="nil"/>
            </w:tcBorders>
          </w:tcPr>
          <w:p w:rsidR="006E1A40" w:rsidRPr="00CA707F" w:rsidRDefault="006E1A40" w:rsidP="006E1A40">
            <w:pPr>
              <w:spacing w:after="120"/>
              <w:jc w:val="right"/>
              <w:rPr>
                <w:szCs w:val="24"/>
              </w:rPr>
            </w:pPr>
            <w:r>
              <w:rPr>
                <w:szCs w:val="24"/>
              </w:rPr>
              <w:t>1.9</w:t>
            </w:r>
          </w:p>
        </w:tc>
        <w:tc>
          <w:tcPr>
            <w:tcW w:w="1701" w:type="dxa"/>
            <w:gridSpan w:val="3"/>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701" w:type="dxa"/>
            <w:gridSpan w:val="4"/>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559" w:type="dxa"/>
            <w:gridSpan w:val="3"/>
            <w:tcBorders>
              <w:top w:val="nil"/>
              <w:left w:val="nil"/>
              <w:bottom w:val="nil"/>
              <w:right w:val="nil"/>
            </w:tcBorders>
          </w:tcPr>
          <w:p w:rsidR="00897DBF" w:rsidRDefault="006E1A40">
            <w:pPr>
              <w:tabs>
                <w:tab w:val="left" w:pos="603"/>
              </w:tabs>
              <w:spacing w:after="120"/>
              <w:jc w:val="right"/>
              <w:rPr>
                <w:szCs w:val="24"/>
              </w:rPr>
            </w:pPr>
            <w:r>
              <w:rPr>
                <w:szCs w:val="24"/>
              </w:rPr>
              <w:t>1.9</w:t>
            </w:r>
          </w:p>
        </w:tc>
      </w:tr>
      <w:tr w:rsidR="006E1A40" w:rsidTr="00344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9" w:type="dxa"/>
        </w:trPr>
        <w:tc>
          <w:tcPr>
            <w:tcW w:w="3357" w:type="dxa"/>
            <w:gridSpan w:val="2"/>
            <w:tcBorders>
              <w:top w:val="nil"/>
              <w:left w:val="nil"/>
              <w:bottom w:val="nil"/>
              <w:right w:val="nil"/>
            </w:tcBorders>
          </w:tcPr>
          <w:p w:rsidR="006E1A40" w:rsidRDefault="006E1A40" w:rsidP="006E1A40">
            <w:pPr>
              <w:spacing w:after="120"/>
              <w:rPr>
                <w:szCs w:val="24"/>
              </w:rPr>
            </w:pPr>
            <w:r>
              <w:rPr>
                <w:szCs w:val="24"/>
              </w:rPr>
              <w:t>Financial liabilities at amortised cost</w:t>
            </w:r>
          </w:p>
        </w:tc>
        <w:tc>
          <w:tcPr>
            <w:tcW w:w="1276" w:type="dxa"/>
            <w:tcBorders>
              <w:top w:val="nil"/>
              <w:left w:val="nil"/>
              <w:bottom w:val="nil"/>
              <w:right w:val="nil"/>
            </w:tcBorders>
          </w:tcPr>
          <w:p w:rsidR="006E1A40" w:rsidRPr="00CA707F" w:rsidRDefault="006E1A40" w:rsidP="006E1A40">
            <w:pPr>
              <w:spacing w:after="120"/>
              <w:jc w:val="right"/>
              <w:rPr>
                <w:szCs w:val="24"/>
              </w:rPr>
            </w:pPr>
            <w:r>
              <w:rPr>
                <w:szCs w:val="24"/>
              </w:rPr>
              <w:t>9.7</w:t>
            </w:r>
          </w:p>
        </w:tc>
        <w:tc>
          <w:tcPr>
            <w:tcW w:w="1701" w:type="dxa"/>
            <w:gridSpan w:val="3"/>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701" w:type="dxa"/>
            <w:gridSpan w:val="4"/>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559" w:type="dxa"/>
            <w:gridSpan w:val="3"/>
            <w:tcBorders>
              <w:top w:val="nil"/>
              <w:left w:val="nil"/>
              <w:bottom w:val="nil"/>
              <w:right w:val="nil"/>
            </w:tcBorders>
          </w:tcPr>
          <w:p w:rsidR="00897DBF" w:rsidRDefault="006E1A40">
            <w:pPr>
              <w:tabs>
                <w:tab w:val="left" w:pos="603"/>
              </w:tabs>
              <w:spacing w:after="120"/>
              <w:jc w:val="right"/>
              <w:rPr>
                <w:szCs w:val="24"/>
              </w:rPr>
            </w:pPr>
            <w:r>
              <w:rPr>
                <w:szCs w:val="24"/>
              </w:rPr>
              <w:t>9.7</w:t>
            </w:r>
          </w:p>
        </w:tc>
      </w:tr>
      <w:tr w:rsidR="006E1A40" w:rsidRPr="00CA707F" w:rsidTr="00344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9" w:type="dxa"/>
          <w:trHeight w:val="862"/>
        </w:trPr>
        <w:tc>
          <w:tcPr>
            <w:tcW w:w="3357" w:type="dxa"/>
            <w:gridSpan w:val="2"/>
            <w:tcBorders>
              <w:top w:val="nil"/>
              <w:left w:val="nil"/>
              <w:bottom w:val="nil"/>
              <w:right w:val="nil"/>
            </w:tcBorders>
          </w:tcPr>
          <w:p w:rsidR="006E1A40" w:rsidRPr="00CA707F" w:rsidRDefault="006E1A40" w:rsidP="006E1A40">
            <w:pPr>
              <w:spacing w:after="120"/>
              <w:rPr>
                <w:b/>
                <w:szCs w:val="24"/>
              </w:rPr>
            </w:pPr>
            <w:r w:rsidRPr="00CA707F">
              <w:rPr>
                <w:b/>
                <w:szCs w:val="24"/>
              </w:rPr>
              <w:t xml:space="preserve">Total Financial </w:t>
            </w:r>
            <w:r>
              <w:rPr>
                <w:b/>
                <w:szCs w:val="24"/>
              </w:rPr>
              <w:t>Liabilities</w:t>
            </w:r>
          </w:p>
        </w:tc>
        <w:tc>
          <w:tcPr>
            <w:tcW w:w="1276" w:type="dxa"/>
            <w:tcBorders>
              <w:top w:val="nil"/>
              <w:left w:val="nil"/>
              <w:bottom w:val="nil"/>
              <w:right w:val="nil"/>
            </w:tcBorders>
          </w:tcPr>
          <w:p w:rsidR="006E1A40" w:rsidRPr="00CA707F" w:rsidRDefault="006E1A40" w:rsidP="006E1A40">
            <w:pPr>
              <w:spacing w:after="120"/>
              <w:jc w:val="right"/>
              <w:rPr>
                <w:b/>
                <w:szCs w:val="24"/>
              </w:rPr>
            </w:pPr>
            <w:r>
              <w:rPr>
                <w:b/>
                <w:szCs w:val="24"/>
              </w:rPr>
              <w:t>11.6</w:t>
            </w:r>
          </w:p>
        </w:tc>
        <w:tc>
          <w:tcPr>
            <w:tcW w:w="1701" w:type="dxa"/>
            <w:gridSpan w:val="3"/>
            <w:tcBorders>
              <w:top w:val="nil"/>
              <w:left w:val="nil"/>
              <w:bottom w:val="nil"/>
              <w:right w:val="nil"/>
            </w:tcBorders>
          </w:tcPr>
          <w:p w:rsidR="006E1A40" w:rsidRPr="00CA707F" w:rsidRDefault="006E1A40" w:rsidP="006E1A40">
            <w:pPr>
              <w:spacing w:after="120"/>
              <w:jc w:val="right"/>
              <w:rPr>
                <w:b/>
                <w:szCs w:val="24"/>
              </w:rPr>
            </w:pPr>
            <w:r>
              <w:rPr>
                <w:b/>
                <w:szCs w:val="24"/>
              </w:rPr>
              <w:t>-</w:t>
            </w:r>
          </w:p>
        </w:tc>
        <w:tc>
          <w:tcPr>
            <w:tcW w:w="1701" w:type="dxa"/>
            <w:gridSpan w:val="4"/>
            <w:tcBorders>
              <w:top w:val="nil"/>
              <w:left w:val="nil"/>
              <w:bottom w:val="nil"/>
              <w:right w:val="nil"/>
            </w:tcBorders>
          </w:tcPr>
          <w:p w:rsidR="006E1A40" w:rsidRPr="00CA707F" w:rsidRDefault="006E1A40" w:rsidP="006E1A40">
            <w:pPr>
              <w:spacing w:after="120"/>
              <w:jc w:val="right"/>
              <w:rPr>
                <w:b/>
                <w:szCs w:val="24"/>
              </w:rPr>
            </w:pPr>
            <w:r>
              <w:rPr>
                <w:b/>
                <w:szCs w:val="24"/>
              </w:rPr>
              <w:t>-</w:t>
            </w:r>
          </w:p>
        </w:tc>
        <w:tc>
          <w:tcPr>
            <w:tcW w:w="1559" w:type="dxa"/>
            <w:gridSpan w:val="3"/>
            <w:tcBorders>
              <w:top w:val="nil"/>
              <w:left w:val="nil"/>
              <w:bottom w:val="nil"/>
              <w:right w:val="nil"/>
            </w:tcBorders>
          </w:tcPr>
          <w:p w:rsidR="00897DBF" w:rsidRDefault="006E1A40">
            <w:pPr>
              <w:tabs>
                <w:tab w:val="left" w:pos="603"/>
              </w:tabs>
              <w:spacing w:after="120"/>
              <w:jc w:val="right"/>
              <w:rPr>
                <w:b/>
                <w:szCs w:val="24"/>
              </w:rPr>
            </w:pPr>
            <w:r>
              <w:rPr>
                <w:b/>
                <w:szCs w:val="24"/>
              </w:rPr>
              <w:t>11.6</w:t>
            </w:r>
          </w:p>
        </w:tc>
      </w:tr>
      <w:tr w:rsidR="004B380D" w:rsidRPr="00CA707F" w:rsidTr="00344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09" w:type="dxa"/>
          <w:trHeight w:val="862"/>
        </w:trPr>
        <w:tc>
          <w:tcPr>
            <w:tcW w:w="3357" w:type="dxa"/>
            <w:gridSpan w:val="2"/>
            <w:tcBorders>
              <w:top w:val="nil"/>
              <w:left w:val="nil"/>
              <w:bottom w:val="nil"/>
              <w:right w:val="nil"/>
            </w:tcBorders>
          </w:tcPr>
          <w:p w:rsidR="004B380D" w:rsidRPr="00CA707F" w:rsidRDefault="004B380D" w:rsidP="006E1A40">
            <w:pPr>
              <w:spacing w:after="120"/>
              <w:rPr>
                <w:b/>
                <w:szCs w:val="24"/>
              </w:rPr>
            </w:pPr>
          </w:p>
        </w:tc>
        <w:tc>
          <w:tcPr>
            <w:tcW w:w="1276" w:type="dxa"/>
            <w:tcBorders>
              <w:top w:val="nil"/>
              <w:left w:val="nil"/>
              <w:bottom w:val="nil"/>
              <w:right w:val="nil"/>
            </w:tcBorders>
          </w:tcPr>
          <w:p w:rsidR="004B380D" w:rsidRDefault="004B380D" w:rsidP="006E1A40">
            <w:pPr>
              <w:spacing w:after="120"/>
              <w:jc w:val="right"/>
              <w:rPr>
                <w:b/>
                <w:szCs w:val="24"/>
              </w:rPr>
            </w:pPr>
          </w:p>
        </w:tc>
        <w:tc>
          <w:tcPr>
            <w:tcW w:w="1701" w:type="dxa"/>
            <w:gridSpan w:val="3"/>
            <w:tcBorders>
              <w:top w:val="nil"/>
              <w:left w:val="nil"/>
              <w:bottom w:val="nil"/>
              <w:right w:val="nil"/>
            </w:tcBorders>
          </w:tcPr>
          <w:p w:rsidR="004B380D" w:rsidRDefault="004B380D" w:rsidP="006E1A40">
            <w:pPr>
              <w:spacing w:after="120"/>
              <w:jc w:val="right"/>
              <w:rPr>
                <w:b/>
                <w:szCs w:val="24"/>
              </w:rPr>
            </w:pPr>
          </w:p>
        </w:tc>
        <w:tc>
          <w:tcPr>
            <w:tcW w:w="1701" w:type="dxa"/>
            <w:gridSpan w:val="4"/>
            <w:tcBorders>
              <w:top w:val="nil"/>
              <w:left w:val="nil"/>
              <w:bottom w:val="nil"/>
              <w:right w:val="nil"/>
            </w:tcBorders>
          </w:tcPr>
          <w:p w:rsidR="004B380D" w:rsidRDefault="004B380D" w:rsidP="006E1A40">
            <w:pPr>
              <w:spacing w:after="120"/>
              <w:jc w:val="right"/>
              <w:rPr>
                <w:b/>
                <w:szCs w:val="24"/>
              </w:rPr>
            </w:pPr>
          </w:p>
        </w:tc>
        <w:tc>
          <w:tcPr>
            <w:tcW w:w="1559" w:type="dxa"/>
            <w:gridSpan w:val="3"/>
            <w:tcBorders>
              <w:top w:val="nil"/>
              <w:left w:val="nil"/>
              <w:bottom w:val="nil"/>
              <w:right w:val="nil"/>
            </w:tcBorders>
          </w:tcPr>
          <w:p w:rsidR="004B380D" w:rsidRDefault="004B380D">
            <w:pPr>
              <w:tabs>
                <w:tab w:val="left" w:pos="603"/>
              </w:tabs>
              <w:spacing w:after="120"/>
              <w:jc w:val="right"/>
              <w:rPr>
                <w:b/>
                <w:szCs w:val="24"/>
              </w:rPr>
            </w:pPr>
          </w:p>
        </w:tc>
      </w:tr>
      <w:tr w:rsidR="006E1A40" w:rsidRPr="00FB0F1F" w:rsidTr="003444A0">
        <w:trPr>
          <w:gridAfter w:val="1"/>
          <w:wAfter w:w="709" w:type="dxa"/>
          <w:trHeight w:val="417"/>
        </w:trPr>
        <w:tc>
          <w:tcPr>
            <w:tcW w:w="3357" w:type="dxa"/>
            <w:gridSpan w:val="2"/>
          </w:tcPr>
          <w:p w:rsidR="006E1A40" w:rsidRDefault="006E1A40" w:rsidP="006E1A40">
            <w:pPr>
              <w:jc w:val="center"/>
              <w:rPr>
                <w:b/>
                <w:szCs w:val="24"/>
              </w:rPr>
            </w:pPr>
          </w:p>
          <w:p w:rsidR="006E1A40" w:rsidRPr="00FB0F1F" w:rsidRDefault="006E1A40" w:rsidP="006E1A40">
            <w:pPr>
              <w:jc w:val="center"/>
              <w:rPr>
                <w:b/>
                <w:szCs w:val="24"/>
              </w:rPr>
            </w:pPr>
            <w:r>
              <w:rPr>
                <w:b/>
                <w:szCs w:val="24"/>
              </w:rPr>
              <w:t>2012</w:t>
            </w:r>
          </w:p>
        </w:tc>
        <w:tc>
          <w:tcPr>
            <w:tcW w:w="1276" w:type="dxa"/>
          </w:tcPr>
          <w:p w:rsidR="006E1A40" w:rsidRDefault="006E1A40" w:rsidP="006E1A40">
            <w:pPr>
              <w:jc w:val="right"/>
              <w:rPr>
                <w:b/>
                <w:szCs w:val="24"/>
              </w:rPr>
            </w:pPr>
          </w:p>
          <w:p w:rsidR="006E1A40" w:rsidRPr="00FB0F1F" w:rsidRDefault="006E1A40" w:rsidP="006E1A40">
            <w:pPr>
              <w:jc w:val="right"/>
              <w:rPr>
                <w:b/>
                <w:szCs w:val="24"/>
              </w:rPr>
            </w:pPr>
            <w:r>
              <w:rPr>
                <w:b/>
                <w:szCs w:val="24"/>
              </w:rPr>
              <w:t>£m</w:t>
            </w:r>
          </w:p>
        </w:tc>
        <w:tc>
          <w:tcPr>
            <w:tcW w:w="1701" w:type="dxa"/>
            <w:gridSpan w:val="3"/>
          </w:tcPr>
          <w:p w:rsidR="006E1A40" w:rsidRDefault="006E1A40" w:rsidP="006E1A40">
            <w:pPr>
              <w:jc w:val="right"/>
              <w:rPr>
                <w:b/>
                <w:szCs w:val="24"/>
              </w:rPr>
            </w:pPr>
          </w:p>
          <w:p w:rsidR="006E1A40" w:rsidRPr="00FB0F1F" w:rsidRDefault="006E1A40" w:rsidP="006E1A40">
            <w:pPr>
              <w:jc w:val="right"/>
              <w:rPr>
                <w:b/>
                <w:szCs w:val="24"/>
              </w:rPr>
            </w:pPr>
            <w:r>
              <w:rPr>
                <w:b/>
                <w:szCs w:val="24"/>
              </w:rPr>
              <w:t>£m</w:t>
            </w:r>
          </w:p>
        </w:tc>
        <w:tc>
          <w:tcPr>
            <w:tcW w:w="1701" w:type="dxa"/>
            <w:gridSpan w:val="4"/>
          </w:tcPr>
          <w:p w:rsidR="006E1A40" w:rsidRDefault="006E1A40" w:rsidP="006E1A40">
            <w:pPr>
              <w:jc w:val="right"/>
              <w:rPr>
                <w:b/>
                <w:szCs w:val="24"/>
              </w:rPr>
            </w:pPr>
          </w:p>
          <w:p w:rsidR="006E1A40" w:rsidRPr="00FB0F1F" w:rsidRDefault="006E1A40" w:rsidP="006E1A40">
            <w:pPr>
              <w:jc w:val="right"/>
              <w:rPr>
                <w:b/>
                <w:szCs w:val="24"/>
              </w:rPr>
            </w:pPr>
            <w:r>
              <w:rPr>
                <w:b/>
                <w:szCs w:val="24"/>
              </w:rPr>
              <w:t>£m</w:t>
            </w:r>
          </w:p>
        </w:tc>
        <w:tc>
          <w:tcPr>
            <w:tcW w:w="1559" w:type="dxa"/>
            <w:gridSpan w:val="3"/>
          </w:tcPr>
          <w:p w:rsidR="00897DBF" w:rsidRDefault="00897DBF">
            <w:pPr>
              <w:tabs>
                <w:tab w:val="left" w:pos="603"/>
              </w:tabs>
              <w:jc w:val="right"/>
              <w:rPr>
                <w:b/>
                <w:szCs w:val="24"/>
              </w:rPr>
            </w:pPr>
          </w:p>
          <w:p w:rsidR="00897DBF" w:rsidRDefault="006E1A40">
            <w:pPr>
              <w:tabs>
                <w:tab w:val="left" w:pos="603"/>
              </w:tabs>
              <w:jc w:val="right"/>
              <w:rPr>
                <w:b/>
                <w:szCs w:val="24"/>
              </w:rPr>
            </w:pPr>
            <w:r>
              <w:rPr>
                <w:b/>
                <w:szCs w:val="24"/>
              </w:rPr>
              <w:t>£m</w:t>
            </w:r>
          </w:p>
        </w:tc>
      </w:tr>
      <w:tr w:rsidR="006E1A40" w:rsidRPr="00FB0F1F" w:rsidTr="003444A0">
        <w:trPr>
          <w:gridAfter w:val="1"/>
          <w:wAfter w:w="709" w:type="dxa"/>
        </w:trPr>
        <w:tc>
          <w:tcPr>
            <w:tcW w:w="3357" w:type="dxa"/>
            <w:gridSpan w:val="2"/>
          </w:tcPr>
          <w:p w:rsidR="006E1A40" w:rsidRPr="002903B7" w:rsidRDefault="006E1A40" w:rsidP="006E1A40">
            <w:pPr>
              <w:spacing w:after="120"/>
              <w:rPr>
                <w:b/>
                <w:szCs w:val="24"/>
              </w:rPr>
            </w:pPr>
            <w:r w:rsidRPr="002903B7">
              <w:rPr>
                <w:b/>
                <w:szCs w:val="24"/>
              </w:rPr>
              <w:t>Financial assets</w:t>
            </w:r>
          </w:p>
        </w:tc>
        <w:tc>
          <w:tcPr>
            <w:tcW w:w="1276" w:type="dxa"/>
          </w:tcPr>
          <w:p w:rsidR="006E1A40" w:rsidRDefault="006E1A40" w:rsidP="006E1A40">
            <w:pPr>
              <w:spacing w:after="120"/>
              <w:jc w:val="right"/>
              <w:rPr>
                <w:szCs w:val="24"/>
              </w:rPr>
            </w:pPr>
          </w:p>
        </w:tc>
        <w:tc>
          <w:tcPr>
            <w:tcW w:w="1701" w:type="dxa"/>
            <w:gridSpan w:val="3"/>
          </w:tcPr>
          <w:p w:rsidR="006E1A40" w:rsidRDefault="006E1A40" w:rsidP="006E1A40">
            <w:pPr>
              <w:spacing w:after="120"/>
              <w:jc w:val="right"/>
              <w:rPr>
                <w:szCs w:val="24"/>
              </w:rPr>
            </w:pPr>
          </w:p>
        </w:tc>
        <w:tc>
          <w:tcPr>
            <w:tcW w:w="1701" w:type="dxa"/>
            <w:gridSpan w:val="4"/>
          </w:tcPr>
          <w:p w:rsidR="006E1A40" w:rsidRDefault="006E1A40" w:rsidP="006E1A40">
            <w:pPr>
              <w:spacing w:after="120"/>
              <w:jc w:val="right"/>
              <w:rPr>
                <w:szCs w:val="24"/>
              </w:rPr>
            </w:pPr>
          </w:p>
        </w:tc>
        <w:tc>
          <w:tcPr>
            <w:tcW w:w="1559" w:type="dxa"/>
            <w:gridSpan w:val="3"/>
          </w:tcPr>
          <w:p w:rsidR="00897DBF" w:rsidRDefault="00897DBF">
            <w:pPr>
              <w:tabs>
                <w:tab w:val="left" w:pos="603"/>
              </w:tabs>
              <w:spacing w:after="120"/>
              <w:jc w:val="right"/>
              <w:rPr>
                <w:szCs w:val="24"/>
              </w:rPr>
            </w:pPr>
          </w:p>
        </w:tc>
      </w:tr>
      <w:tr w:rsidR="006E1A40" w:rsidTr="003444A0">
        <w:trPr>
          <w:gridAfter w:val="1"/>
          <w:wAfter w:w="709" w:type="dxa"/>
        </w:trPr>
        <w:tc>
          <w:tcPr>
            <w:tcW w:w="3357" w:type="dxa"/>
            <w:gridSpan w:val="2"/>
          </w:tcPr>
          <w:p w:rsidR="006E1A40" w:rsidRPr="00CA707F" w:rsidRDefault="006E1A40" w:rsidP="006E1A40">
            <w:pPr>
              <w:spacing w:after="120"/>
              <w:rPr>
                <w:szCs w:val="24"/>
              </w:rPr>
            </w:pPr>
            <w:r>
              <w:rPr>
                <w:szCs w:val="24"/>
              </w:rPr>
              <w:t>Financial assets at fair value through profit and loss</w:t>
            </w:r>
          </w:p>
        </w:tc>
        <w:tc>
          <w:tcPr>
            <w:tcW w:w="1276" w:type="dxa"/>
          </w:tcPr>
          <w:p w:rsidR="001E5D39" w:rsidRDefault="006E1A40">
            <w:pPr>
              <w:spacing w:after="120"/>
              <w:jc w:val="right"/>
              <w:rPr>
                <w:szCs w:val="24"/>
              </w:rPr>
            </w:pPr>
            <w:r>
              <w:rPr>
                <w:szCs w:val="24"/>
              </w:rPr>
              <w:t>3,</w:t>
            </w:r>
            <w:r w:rsidR="00AB41E8">
              <w:rPr>
                <w:szCs w:val="24"/>
              </w:rPr>
              <w:t>497.4</w:t>
            </w:r>
          </w:p>
        </w:tc>
        <w:tc>
          <w:tcPr>
            <w:tcW w:w="1701" w:type="dxa"/>
            <w:gridSpan w:val="3"/>
          </w:tcPr>
          <w:p w:rsidR="001E5D39" w:rsidRDefault="004350BB">
            <w:pPr>
              <w:spacing w:after="120"/>
              <w:jc w:val="right"/>
              <w:rPr>
                <w:szCs w:val="24"/>
              </w:rPr>
            </w:pPr>
            <w:r>
              <w:rPr>
                <w:szCs w:val="24"/>
              </w:rPr>
              <w:t>*</w:t>
            </w:r>
            <w:r w:rsidR="00AB41E8">
              <w:rPr>
                <w:szCs w:val="24"/>
              </w:rPr>
              <w:t>49.3</w:t>
            </w:r>
          </w:p>
        </w:tc>
        <w:tc>
          <w:tcPr>
            <w:tcW w:w="1701" w:type="dxa"/>
            <w:gridSpan w:val="4"/>
          </w:tcPr>
          <w:p w:rsidR="006E1A40" w:rsidRPr="00CA707F" w:rsidRDefault="00AB41E8" w:rsidP="006E1A40">
            <w:pPr>
              <w:spacing w:after="120"/>
              <w:jc w:val="right"/>
              <w:rPr>
                <w:szCs w:val="24"/>
              </w:rPr>
            </w:pPr>
            <w:r>
              <w:rPr>
                <w:szCs w:val="24"/>
              </w:rPr>
              <w:t>304.1</w:t>
            </w:r>
          </w:p>
        </w:tc>
        <w:tc>
          <w:tcPr>
            <w:tcW w:w="1559" w:type="dxa"/>
            <w:gridSpan w:val="3"/>
          </w:tcPr>
          <w:p w:rsidR="00897DBF" w:rsidRDefault="006E1A40">
            <w:pPr>
              <w:tabs>
                <w:tab w:val="left" w:pos="603"/>
              </w:tabs>
              <w:spacing w:after="120"/>
              <w:jc w:val="right"/>
              <w:rPr>
                <w:szCs w:val="24"/>
              </w:rPr>
            </w:pPr>
            <w:r>
              <w:rPr>
                <w:szCs w:val="24"/>
              </w:rPr>
              <w:t>3,850.8</w:t>
            </w:r>
          </w:p>
        </w:tc>
      </w:tr>
      <w:tr w:rsidR="006E1A40" w:rsidRPr="00CA707F" w:rsidTr="003444A0">
        <w:trPr>
          <w:gridAfter w:val="1"/>
          <w:wAfter w:w="709" w:type="dxa"/>
        </w:trPr>
        <w:tc>
          <w:tcPr>
            <w:tcW w:w="3357" w:type="dxa"/>
            <w:gridSpan w:val="2"/>
          </w:tcPr>
          <w:p w:rsidR="006E1A40" w:rsidRDefault="006E1A40" w:rsidP="006E1A40">
            <w:pPr>
              <w:spacing w:after="120"/>
              <w:rPr>
                <w:szCs w:val="24"/>
              </w:rPr>
            </w:pPr>
            <w:r>
              <w:rPr>
                <w:szCs w:val="24"/>
              </w:rPr>
              <w:t>Loans and Receivables</w:t>
            </w:r>
          </w:p>
        </w:tc>
        <w:tc>
          <w:tcPr>
            <w:tcW w:w="1276" w:type="dxa"/>
          </w:tcPr>
          <w:p w:rsidR="006E1A40" w:rsidRPr="00CA707F" w:rsidRDefault="006E1A40" w:rsidP="006E1A40">
            <w:pPr>
              <w:spacing w:after="120"/>
              <w:jc w:val="right"/>
              <w:rPr>
                <w:szCs w:val="24"/>
              </w:rPr>
            </w:pPr>
            <w:r>
              <w:rPr>
                <w:szCs w:val="24"/>
              </w:rPr>
              <w:t>150.1</w:t>
            </w:r>
          </w:p>
        </w:tc>
        <w:tc>
          <w:tcPr>
            <w:tcW w:w="1701" w:type="dxa"/>
            <w:gridSpan w:val="3"/>
          </w:tcPr>
          <w:p w:rsidR="006E1A40" w:rsidRPr="00CA707F" w:rsidRDefault="006E1A40" w:rsidP="006E1A40">
            <w:pPr>
              <w:spacing w:after="120"/>
              <w:jc w:val="right"/>
              <w:rPr>
                <w:szCs w:val="24"/>
              </w:rPr>
            </w:pPr>
            <w:r>
              <w:rPr>
                <w:szCs w:val="24"/>
              </w:rPr>
              <w:t>-</w:t>
            </w:r>
          </w:p>
        </w:tc>
        <w:tc>
          <w:tcPr>
            <w:tcW w:w="1701" w:type="dxa"/>
            <w:gridSpan w:val="4"/>
          </w:tcPr>
          <w:p w:rsidR="006E1A40" w:rsidRPr="00CA707F" w:rsidRDefault="006E1A40" w:rsidP="006E1A40">
            <w:pPr>
              <w:spacing w:after="120"/>
              <w:jc w:val="right"/>
              <w:rPr>
                <w:szCs w:val="24"/>
              </w:rPr>
            </w:pPr>
            <w:r>
              <w:rPr>
                <w:szCs w:val="24"/>
              </w:rPr>
              <w:t>-</w:t>
            </w:r>
          </w:p>
        </w:tc>
        <w:tc>
          <w:tcPr>
            <w:tcW w:w="1559" w:type="dxa"/>
            <w:gridSpan w:val="3"/>
          </w:tcPr>
          <w:p w:rsidR="00897DBF" w:rsidRDefault="006E1A40">
            <w:pPr>
              <w:tabs>
                <w:tab w:val="left" w:pos="603"/>
              </w:tabs>
              <w:spacing w:after="120"/>
              <w:jc w:val="right"/>
              <w:rPr>
                <w:szCs w:val="24"/>
              </w:rPr>
            </w:pPr>
            <w:r>
              <w:rPr>
                <w:szCs w:val="24"/>
              </w:rPr>
              <w:t>150.1</w:t>
            </w:r>
          </w:p>
        </w:tc>
      </w:tr>
      <w:tr w:rsidR="003A51AD" w:rsidRPr="00CA707F" w:rsidTr="003444A0">
        <w:trPr>
          <w:gridAfter w:val="1"/>
          <w:wAfter w:w="709" w:type="dxa"/>
        </w:trPr>
        <w:tc>
          <w:tcPr>
            <w:tcW w:w="3216" w:type="dxa"/>
          </w:tcPr>
          <w:p w:rsidR="006E1A40" w:rsidRPr="00CA707F" w:rsidRDefault="006E1A40" w:rsidP="006E1A40">
            <w:pPr>
              <w:spacing w:after="360"/>
              <w:rPr>
                <w:b/>
                <w:szCs w:val="24"/>
              </w:rPr>
            </w:pPr>
            <w:r w:rsidRPr="00CA707F">
              <w:rPr>
                <w:b/>
                <w:szCs w:val="24"/>
              </w:rPr>
              <w:t>Total Financial assets</w:t>
            </w:r>
          </w:p>
        </w:tc>
        <w:tc>
          <w:tcPr>
            <w:tcW w:w="1417" w:type="dxa"/>
            <w:gridSpan w:val="2"/>
          </w:tcPr>
          <w:p w:rsidR="00897DBF" w:rsidRDefault="006E1A40">
            <w:pPr>
              <w:spacing w:after="120"/>
              <w:ind w:right="-107"/>
              <w:jc w:val="right"/>
              <w:rPr>
                <w:b/>
                <w:szCs w:val="24"/>
              </w:rPr>
            </w:pPr>
            <w:r>
              <w:rPr>
                <w:b/>
                <w:szCs w:val="24"/>
              </w:rPr>
              <w:t>3,</w:t>
            </w:r>
            <w:r w:rsidR="00AB41E8">
              <w:rPr>
                <w:b/>
                <w:szCs w:val="24"/>
              </w:rPr>
              <w:t>647 .5</w:t>
            </w:r>
          </w:p>
        </w:tc>
        <w:tc>
          <w:tcPr>
            <w:tcW w:w="1701" w:type="dxa"/>
            <w:gridSpan w:val="3"/>
          </w:tcPr>
          <w:p w:rsidR="00897DBF" w:rsidRDefault="00AB41E8">
            <w:pPr>
              <w:spacing w:after="120"/>
              <w:ind w:right="-107"/>
              <w:jc w:val="right"/>
              <w:rPr>
                <w:b/>
                <w:szCs w:val="24"/>
              </w:rPr>
            </w:pPr>
            <w:r>
              <w:rPr>
                <w:b/>
                <w:szCs w:val="24"/>
              </w:rPr>
              <w:t>49.3</w:t>
            </w:r>
          </w:p>
        </w:tc>
        <w:tc>
          <w:tcPr>
            <w:tcW w:w="1701" w:type="dxa"/>
            <w:gridSpan w:val="4"/>
          </w:tcPr>
          <w:p w:rsidR="006E1A40" w:rsidRPr="00CA707F" w:rsidRDefault="00AB41E8" w:rsidP="006E1A40">
            <w:pPr>
              <w:spacing w:after="120"/>
              <w:jc w:val="right"/>
              <w:rPr>
                <w:b/>
                <w:szCs w:val="24"/>
              </w:rPr>
            </w:pPr>
            <w:r>
              <w:rPr>
                <w:b/>
                <w:szCs w:val="24"/>
              </w:rPr>
              <w:t>304.1</w:t>
            </w:r>
          </w:p>
        </w:tc>
        <w:tc>
          <w:tcPr>
            <w:tcW w:w="1559" w:type="dxa"/>
            <w:gridSpan w:val="3"/>
          </w:tcPr>
          <w:p w:rsidR="00897DBF" w:rsidRDefault="006E1A40">
            <w:pPr>
              <w:tabs>
                <w:tab w:val="left" w:pos="603"/>
              </w:tabs>
              <w:spacing w:after="120"/>
              <w:jc w:val="right"/>
              <w:rPr>
                <w:b/>
                <w:szCs w:val="24"/>
              </w:rPr>
            </w:pPr>
            <w:r>
              <w:rPr>
                <w:b/>
                <w:szCs w:val="24"/>
              </w:rPr>
              <w:t>4,00</w:t>
            </w:r>
            <w:r w:rsidR="00AB41E8">
              <w:rPr>
                <w:b/>
                <w:szCs w:val="24"/>
              </w:rPr>
              <w:t>0</w:t>
            </w:r>
            <w:r>
              <w:rPr>
                <w:b/>
                <w:szCs w:val="24"/>
              </w:rPr>
              <w:t>.9</w:t>
            </w:r>
          </w:p>
        </w:tc>
      </w:tr>
      <w:tr w:rsidR="006E1A40" w:rsidRPr="00CA707F" w:rsidTr="003444A0">
        <w:tc>
          <w:tcPr>
            <w:tcW w:w="3357" w:type="dxa"/>
            <w:gridSpan w:val="2"/>
            <w:tcBorders>
              <w:top w:val="nil"/>
              <w:left w:val="nil"/>
              <w:bottom w:val="nil"/>
              <w:right w:val="nil"/>
            </w:tcBorders>
          </w:tcPr>
          <w:p w:rsidR="006E1A40" w:rsidRPr="002903B7" w:rsidRDefault="006E1A40" w:rsidP="006E1A40">
            <w:pPr>
              <w:spacing w:after="120"/>
              <w:rPr>
                <w:b/>
                <w:szCs w:val="24"/>
              </w:rPr>
            </w:pPr>
            <w:r w:rsidRPr="002903B7">
              <w:rPr>
                <w:b/>
                <w:szCs w:val="24"/>
              </w:rPr>
              <w:t>Financial</w:t>
            </w:r>
            <w:r>
              <w:rPr>
                <w:b/>
                <w:szCs w:val="24"/>
              </w:rPr>
              <w:t xml:space="preserve"> Liabilities</w:t>
            </w:r>
          </w:p>
        </w:tc>
        <w:tc>
          <w:tcPr>
            <w:tcW w:w="1985" w:type="dxa"/>
            <w:gridSpan w:val="3"/>
            <w:tcBorders>
              <w:top w:val="nil"/>
              <w:left w:val="nil"/>
              <w:bottom w:val="nil"/>
              <w:right w:val="nil"/>
            </w:tcBorders>
          </w:tcPr>
          <w:p w:rsidR="006E1A40" w:rsidRDefault="006E1A40" w:rsidP="006E1A40">
            <w:pPr>
              <w:spacing w:after="120"/>
              <w:jc w:val="right"/>
              <w:rPr>
                <w:szCs w:val="24"/>
              </w:rPr>
            </w:pPr>
          </w:p>
        </w:tc>
        <w:tc>
          <w:tcPr>
            <w:tcW w:w="2095" w:type="dxa"/>
            <w:gridSpan w:val="3"/>
            <w:tcBorders>
              <w:top w:val="nil"/>
              <w:left w:val="nil"/>
              <w:bottom w:val="nil"/>
              <w:right w:val="nil"/>
            </w:tcBorders>
          </w:tcPr>
          <w:p w:rsidR="006E1A40" w:rsidRDefault="006E1A40" w:rsidP="006E1A40">
            <w:pPr>
              <w:spacing w:after="120"/>
              <w:jc w:val="right"/>
              <w:rPr>
                <w:szCs w:val="24"/>
              </w:rPr>
            </w:pPr>
          </w:p>
        </w:tc>
        <w:tc>
          <w:tcPr>
            <w:tcW w:w="1449" w:type="dxa"/>
            <w:gridSpan w:val="3"/>
            <w:tcBorders>
              <w:top w:val="nil"/>
              <w:left w:val="nil"/>
              <w:bottom w:val="nil"/>
              <w:right w:val="nil"/>
            </w:tcBorders>
          </w:tcPr>
          <w:p w:rsidR="006E1A40" w:rsidRDefault="006E1A40" w:rsidP="006E1A40">
            <w:pPr>
              <w:spacing w:after="120"/>
              <w:jc w:val="right"/>
              <w:rPr>
                <w:szCs w:val="24"/>
              </w:rPr>
            </w:pPr>
          </w:p>
        </w:tc>
        <w:tc>
          <w:tcPr>
            <w:tcW w:w="1417" w:type="dxa"/>
            <w:gridSpan w:val="3"/>
            <w:tcBorders>
              <w:top w:val="nil"/>
              <w:left w:val="nil"/>
              <w:bottom w:val="nil"/>
              <w:right w:val="nil"/>
            </w:tcBorders>
          </w:tcPr>
          <w:p w:rsidR="006E1A40" w:rsidRDefault="006E1A40" w:rsidP="006E1A40">
            <w:pPr>
              <w:spacing w:after="120"/>
              <w:jc w:val="right"/>
              <w:rPr>
                <w:szCs w:val="24"/>
              </w:rPr>
            </w:pPr>
          </w:p>
        </w:tc>
      </w:tr>
      <w:tr w:rsidR="006E1A40" w:rsidTr="003444A0">
        <w:trPr>
          <w:gridAfter w:val="2"/>
          <w:wAfter w:w="850" w:type="dxa"/>
        </w:trPr>
        <w:tc>
          <w:tcPr>
            <w:tcW w:w="3357" w:type="dxa"/>
            <w:gridSpan w:val="2"/>
            <w:tcBorders>
              <w:top w:val="nil"/>
              <w:left w:val="nil"/>
              <w:bottom w:val="nil"/>
              <w:right w:val="nil"/>
            </w:tcBorders>
          </w:tcPr>
          <w:p w:rsidR="006E1A40" w:rsidRPr="00CA707F" w:rsidRDefault="006E1A40" w:rsidP="006E1A40">
            <w:pPr>
              <w:spacing w:after="120"/>
              <w:rPr>
                <w:szCs w:val="24"/>
              </w:rPr>
            </w:pPr>
            <w:r>
              <w:rPr>
                <w:szCs w:val="24"/>
              </w:rPr>
              <w:t>Financial liabilities at fair value through profit and loss</w:t>
            </w:r>
          </w:p>
        </w:tc>
        <w:tc>
          <w:tcPr>
            <w:tcW w:w="1560" w:type="dxa"/>
            <w:gridSpan w:val="2"/>
            <w:tcBorders>
              <w:top w:val="nil"/>
              <w:left w:val="nil"/>
              <w:bottom w:val="nil"/>
              <w:right w:val="nil"/>
            </w:tcBorders>
          </w:tcPr>
          <w:p w:rsidR="006E1A40" w:rsidRPr="00CA707F" w:rsidRDefault="006E1A40" w:rsidP="006E1A40">
            <w:pPr>
              <w:spacing w:after="120"/>
              <w:jc w:val="right"/>
              <w:rPr>
                <w:szCs w:val="24"/>
              </w:rPr>
            </w:pPr>
            <w:r>
              <w:rPr>
                <w:szCs w:val="24"/>
              </w:rPr>
              <w:t>1.6</w:t>
            </w:r>
          </w:p>
        </w:tc>
        <w:tc>
          <w:tcPr>
            <w:tcW w:w="1559" w:type="dxa"/>
            <w:gridSpan w:val="3"/>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449" w:type="dxa"/>
            <w:gridSpan w:val="2"/>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528" w:type="dxa"/>
            <w:gridSpan w:val="3"/>
            <w:tcBorders>
              <w:top w:val="nil"/>
              <w:left w:val="nil"/>
              <w:bottom w:val="nil"/>
              <w:right w:val="nil"/>
            </w:tcBorders>
          </w:tcPr>
          <w:p w:rsidR="006E1A40" w:rsidRPr="00CA707F" w:rsidRDefault="006E1A40" w:rsidP="006E1A40">
            <w:pPr>
              <w:spacing w:after="120"/>
              <w:jc w:val="right"/>
              <w:rPr>
                <w:szCs w:val="24"/>
              </w:rPr>
            </w:pPr>
            <w:r>
              <w:rPr>
                <w:szCs w:val="24"/>
              </w:rPr>
              <w:t>1.6</w:t>
            </w:r>
          </w:p>
        </w:tc>
      </w:tr>
      <w:tr w:rsidR="006E1A40" w:rsidRPr="00CA707F" w:rsidTr="003444A0">
        <w:trPr>
          <w:gridAfter w:val="2"/>
          <w:wAfter w:w="850" w:type="dxa"/>
        </w:trPr>
        <w:tc>
          <w:tcPr>
            <w:tcW w:w="3357" w:type="dxa"/>
            <w:gridSpan w:val="2"/>
            <w:tcBorders>
              <w:top w:val="nil"/>
              <w:left w:val="nil"/>
              <w:bottom w:val="nil"/>
              <w:right w:val="nil"/>
            </w:tcBorders>
          </w:tcPr>
          <w:p w:rsidR="006E1A40" w:rsidRDefault="006E1A40" w:rsidP="006E1A40">
            <w:pPr>
              <w:spacing w:after="120"/>
              <w:rPr>
                <w:szCs w:val="24"/>
              </w:rPr>
            </w:pPr>
            <w:r>
              <w:rPr>
                <w:szCs w:val="24"/>
              </w:rPr>
              <w:t>Financial liabilities at amortised cost</w:t>
            </w:r>
          </w:p>
        </w:tc>
        <w:tc>
          <w:tcPr>
            <w:tcW w:w="1560" w:type="dxa"/>
            <w:gridSpan w:val="2"/>
            <w:tcBorders>
              <w:top w:val="nil"/>
              <w:left w:val="nil"/>
              <w:bottom w:val="nil"/>
              <w:right w:val="nil"/>
            </w:tcBorders>
          </w:tcPr>
          <w:p w:rsidR="006E1A40" w:rsidRPr="00CA707F" w:rsidRDefault="006E1A40" w:rsidP="006E1A40">
            <w:pPr>
              <w:spacing w:after="120"/>
              <w:jc w:val="right"/>
              <w:rPr>
                <w:szCs w:val="24"/>
              </w:rPr>
            </w:pPr>
            <w:r>
              <w:rPr>
                <w:szCs w:val="24"/>
              </w:rPr>
              <w:t>3.2</w:t>
            </w:r>
          </w:p>
        </w:tc>
        <w:tc>
          <w:tcPr>
            <w:tcW w:w="1559" w:type="dxa"/>
            <w:gridSpan w:val="3"/>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449" w:type="dxa"/>
            <w:gridSpan w:val="2"/>
            <w:tcBorders>
              <w:top w:val="nil"/>
              <w:left w:val="nil"/>
              <w:bottom w:val="nil"/>
              <w:right w:val="nil"/>
            </w:tcBorders>
          </w:tcPr>
          <w:p w:rsidR="006E1A40" w:rsidRPr="00CA707F" w:rsidRDefault="006E1A40" w:rsidP="006E1A40">
            <w:pPr>
              <w:spacing w:after="120"/>
              <w:jc w:val="right"/>
              <w:rPr>
                <w:szCs w:val="24"/>
              </w:rPr>
            </w:pPr>
            <w:r>
              <w:rPr>
                <w:szCs w:val="24"/>
              </w:rPr>
              <w:t>-</w:t>
            </w:r>
          </w:p>
        </w:tc>
        <w:tc>
          <w:tcPr>
            <w:tcW w:w="1528" w:type="dxa"/>
            <w:gridSpan w:val="3"/>
            <w:tcBorders>
              <w:top w:val="nil"/>
              <w:left w:val="nil"/>
              <w:bottom w:val="nil"/>
              <w:right w:val="nil"/>
            </w:tcBorders>
          </w:tcPr>
          <w:p w:rsidR="006E1A40" w:rsidRDefault="006E1A40" w:rsidP="006E1A40">
            <w:pPr>
              <w:spacing w:after="120"/>
              <w:jc w:val="right"/>
              <w:rPr>
                <w:szCs w:val="24"/>
              </w:rPr>
            </w:pPr>
            <w:r>
              <w:rPr>
                <w:szCs w:val="24"/>
              </w:rPr>
              <w:t>3.2</w:t>
            </w:r>
          </w:p>
        </w:tc>
      </w:tr>
      <w:tr w:rsidR="006E1A40" w:rsidTr="003444A0">
        <w:trPr>
          <w:gridAfter w:val="2"/>
          <w:wAfter w:w="850" w:type="dxa"/>
        </w:trPr>
        <w:tc>
          <w:tcPr>
            <w:tcW w:w="3357" w:type="dxa"/>
            <w:gridSpan w:val="2"/>
            <w:tcBorders>
              <w:top w:val="nil"/>
              <w:left w:val="nil"/>
              <w:bottom w:val="nil"/>
              <w:right w:val="nil"/>
            </w:tcBorders>
          </w:tcPr>
          <w:p w:rsidR="006E1A40" w:rsidRPr="00CA707F" w:rsidRDefault="006E1A40" w:rsidP="006E1A40">
            <w:pPr>
              <w:spacing w:after="120"/>
              <w:rPr>
                <w:b/>
                <w:szCs w:val="24"/>
              </w:rPr>
            </w:pPr>
            <w:r w:rsidRPr="00CA707F">
              <w:rPr>
                <w:b/>
                <w:szCs w:val="24"/>
              </w:rPr>
              <w:t xml:space="preserve">Total Financial </w:t>
            </w:r>
            <w:r>
              <w:rPr>
                <w:b/>
                <w:szCs w:val="24"/>
              </w:rPr>
              <w:t>Liabilities</w:t>
            </w:r>
          </w:p>
        </w:tc>
        <w:tc>
          <w:tcPr>
            <w:tcW w:w="1560" w:type="dxa"/>
            <w:gridSpan w:val="2"/>
            <w:tcBorders>
              <w:top w:val="nil"/>
              <w:left w:val="nil"/>
              <w:bottom w:val="nil"/>
              <w:right w:val="nil"/>
            </w:tcBorders>
          </w:tcPr>
          <w:p w:rsidR="006E1A40" w:rsidRPr="00CA707F" w:rsidRDefault="006E1A40" w:rsidP="006E1A40">
            <w:pPr>
              <w:spacing w:after="120"/>
              <w:jc w:val="right"/>
              <w:rPr>
                <w:b/>
                <w:szCs w:val="24"/>
              </w:rPr>
            </w:pPr>
            <w:r>
              <w:rPr>
                <w:b/>
                <w:szCs w:val="24"/>
              </w:rPr>
              <w:t>4.8</w:t>
            </w:r>
          </w:p>
        </w:tc>
        <w:tc>
          <w:tcPr>
            <w:tcW w:w="1559" w:type="dxa"/>
            <w:gridSpan w:val="3"/>
            <w:tcBorders>
              <w:top w:val="nil"/>
              <w:left w:val="nil"/>
              <w:bottom w:val="nil"/>
              <w:right w:val="nil"/>
            </w:tcBorders>
          </w:tcPr>
          <w:p w:rsidR="006E1A40" w:rsidRPr="00CA707F" w:rsidRDefault="006E1A40" w:rsidP="006E1A40">
            <w:pPr>
              <w:spacing w:after="120"/>
              <w:jc w:val="right"/>
              <w:rPr>
                <w:b/>
                <w:szCs w:val="24"/>
              </w:rPr>
            </w:pPr>
            <w:r w:rsidRPr="00CA707F">
              <w:rPr>
                <w:b/>
                <w:szCs w:val="24"/>
              </w:rPr>
              <w:t>0</w:t>
            </w:r>
          </w:p>
        </w:tc>
        <w:tc>
          <w:tcPr>
            <w:tcW w:w="1449" w:type="dxa"/>
            <w:gridSpan w:val="2"/>
            <w:tcBorders>
              <w:top w:val="nil"/>
              <w:left w:val="nil"/>
              <w:bottom w:val="nil"/>
              <w:right w:val="nil"/>
            </w:tcBorders>
          </w:tcPr>
          <w:p w:rsidR="006E1A40" w:rsidRPr="00CA707F" w:rsidRDefault="006E1A40" w:rsidP="006E1A40">
            <w:pPr>
              <w:spacing w:after="120"/>
              <w:jc w:val="right"/>
              <w:rPr>
                <w:b/>
                <w:szCs w:val="24"/>
              </w:rPr>
            </w:pPr>
            <w:r w:rsidRPr="00CA707F">
              <w:rPr>
                <w:b/>
                <w:szCs w:val="24"/>
              </w:rPr>
              <w:t>0</w:t>
            </w:r>
          </w:p>
        </w:tc>
        <w:tc>
          <w:tcPr>
            <w:tcW w:w="1528" w:type="dxa"/>
            <w:gridSpan w:val="3"/>
            <w:tcBorders>
              <w:top w:val="nil"/>
              <w:left w:val="nil"/>
              <w:bottom w:val="nil"/>
              <w:right w:val="nil"/>
            </w:tcBorders>
          </w:tcPr>
          <w:p w:rsidR="006E1A40" w:rsidRDefault="006E1A40" w:rsidP="006E1A40">
            <w:pPr>
              <w:spacing w:after="120"/>
              <w:jc w:val="right"/>
              <w:rPr>
                <w:b/>
                <w:szCs w:val="24"/>
              </w:rPr>
            </w:pPr>
            <w:r>
              <w:rPr>
                <w:b/>
                <w:szCs w:val="24"/>
              </w:rPr>
              <w:t>4.8</w:t>
            </w:r>
          </w:p>
          <w:p w:rsidR="006E1A40" w:rsidRPr="00CA707F" w:rsidRDefault="006E1A40" w:rsidP="006E1A40">
            <w:pPr>
              <w:spacing w:after="120"/>
              <w:jc w:val="right"/>
              <w:rPr>
                <w:b/>
                <w:szCs w:val="24"/>
              </w:rPr>
            </w:pPr>
          </w:p>
        </w:tc>
      </w:tr>
      <w:tr w:rsidR="004B380D" w:rsidTr="003444A0">
        <w:trPr>
          <w:gridAfter w:val="2"/>
          <w:wAfter w:w="850" w:type="dxa"/>
        </w:trPr>
        <w:tc>
          <w:tcPr>
            <w:tcW w:w="3357" w:type="dxa"/>
            <w:gridSpan w:val="2"/>
            <w:tcBorders>
              <w:top w:val="nil"/>
              <w:left w:val="nil"/>
              <w:bottom w:val="nil"/>
              <w:right w:val="nil"/>
            </w:tcBorders>
          </w:tcPr>
          <w:p w:rsidR="004B380D" w:rsidRDefault="004B380D" w:rsidP="006E1A40">
            <w:pPr>
              <w:spacing w:after="120"/>
              <w:rPr>
                <w:b/>
                <w:szCs w:val="24"/>
              </w:rPr>
            </w:pPr>
          </w:p>
          <w:p w:rsidR="004B380D" w:rsidRPr="00CA707F" w:rsidRDefault="004B380D" w:rsidP="006E1A40">
            <w:pPr>
              <w:spacing w:after="120"/>
              <w:rPr>
                <w:b/>
                <w:szCs w:val="24"/>
              </w:rPr>
            </w:pPr>
          </w:p>
        </w:tc>
        <w:tc>
          <w:tcPr>
            <w:tcW w:w="1560" w:type="dxa"/>
            <w:gridSpan w:val="2"/>
            <w:tcBorders>
              <w:top w:val="nil"/>
              <w:left w:val="nil"/>
              <w:bottom w:val="nil"/>
              <w:right w:val="nil"/>
            </w:tcBorders>
          </w:tcPr>
          <w:p w:rsidR="004B380D" w:rsidRDefault="004B380D" w:rsidP="006E1A40">
            <w:pPr>
              <w:spacing w:after="120"/>
              <w:jc w:val="right"/>
              <w:rPr>
                <w:b/>
                <w:szCs w:val="24"/>
              </w:rPr>
            </w:pPr>
          </w:p>
        </w:tc>
        <w:tc>
          <w:tcPr>
            <w:tcW w:w="1559" w:type="dxa"/>
            <w:gridSpan w:val="3"/>
            <w:tcBorders>
              <w:top w:val="nil"/>
              <w:left w:val="nil"/>
              <w:bottom w:val="nil"/>
              <w:right w:val="nil"/>
            </w:tcBorders>
          </w:tcPr>
          <w:p w:rsidR="004B380D" w:rsidRPr="00CA707F" w:rsidRDefault="004B380D" w:rsidP="006E1A40">
            <w:pPr>
              <w:spacing w:after="120"/>
              <w:jc w:val="right"/>
              <w:rPr>
                <w:b/>
                <w:szCs w:val="24"/>
              </w:rPr>
            </w:pPr>
          </w:p>
        </w:tc>
        <w:tc>
          <w:tcPr>
            <w:tcW w:w="1449" w:type="dxa"/>
            <w:gridSpan w:val="2"/>
            <w:tcBorders>
              <w:top w:val="nil"/>
              <w:left w:val="nil"/>
              <w:bottom w:val="nil"/>
              <w:right w:val="nil"/>
            </w:tcBorders>
          </w:tcPr>
          <w:p w:rsidR="004B380D" w:rsidRPr="00CA707F" w:rsidRDefault="004B380D" w:rsidP="006E1A40">
            <w:pPr>
              <w:spacing w:after="120"/>
              <w:jc w:val="right"/>
              <w:rPr>
                <w:b/>
                <w:szCs w:val="24"/>
              </w:rPr>
            </w:pPr>
          </w:p>
        </w:tc>
        <w:tc>
          <w:tcPr>
            <w:tcW w:w="1528" w:type="dxa"/>
            <w:gridSpan w:val="3"/>
            <w:tcBorders>
              <w:top w:val="nil"/>
              <w:left w:val="nil"/>
              <w:bottom w:val="nil"/>
              <w:right w:val="nil"/>
            </w:tcBorders>
          </w:tcPr>
          <w:p w:rsidR="004B380D" w:rsidRDefault="004B380D" w:rsidP="006E1A40">
            <w:pPr>
              <w:spacing w:after="120"/>
              <w:jc w:val="right"/>
              <w:rPr>
                <w:b/>
                <w:szCs w:val="24"/>
              </w:rPr>
            </w:pPr>
          </w:p>
        </w:tc>
      </w:tr>
    </w:tbl>
    <w:p w:rsidR="006E1A40" w:rsidRPr="00557F59" w:rsidRDefault="006E1A40" w:rsidP="006E1A40">
      <w:pPr>
        <w:numPr>
          <w:ilvl w:val="0"/>
          <w:numId w:val="2"/>
        </w:numPr>
        <w:tabs>
          <w:tab w:val="clear" w:pos="720"/>
          <w:tab w:val="num" w:pos="709"/>
        </w:tabs>
        <w:spacing w:after="120"/>
        <w:ind w:left="862"/>
        <w:rPr>
          <w:b/>
          <w:szCs w:val="24"/>
        </w:rPr>
      </w:pPr>
      <w:r w:rsidRPr="00557F59">
        <w:rPr>
          <w:b/>
          <w:szCs w:val="24"/>
        </w:rPr>
        <w:t>Nature and extent of risks</w:t>
      </w:r>
      <w:r w:rsidRPr="00557F59">
        <w:rPr>
          <w:b/>
        </w:rPr>
        <w:t xml:space="preserve"> arising from Financial Instruments</w:t>
      </w:r>
    </w:p>
    <w:p w:rsidR="006E1A40" w:rsidRDefault="006E1A40" w:rsidP="006E1A40">
      <w:pPr>
        <w:ind w:firstLine="720"/>
      </w:pPr>
    </w:p>
    <w:p w:rsidR="006E1A40" w:rsidRPr="000868FD" w:rsidRDefault="006E1A40" w:rsidP="006E1A40">
      <w:pPr>
        <w:ind w:firstLine="720"/>
        <w:rPr>
          <w:b/>
        </w:rPr>
      </w:pPr>
      <w:r w:rsidRPr="000868FD">
        <w:rPr>
          <w:b/>
        </w:rPr>
        <w:t xml:space="preserve">Risk and risk management </w:t>
      </w:r>
    </w:p>
    <w:p w:rsidR="006E1A40" w:rsidRPr="00E539D1" w:rsidRDefault="006E1A40" w:rsidP="006E1A40">
      <w:pPr>
        <w:rPr>
          <w:b/>
        </w:rPr>
      </w:pPr>
    </w:p>
    <w:p w:rsidR="006E1A40" w:rsidRDefault="006E1A40" w:rsidP="006E1A40">
      <w:pPr>
        <w:ind w:left="720"/>
      </w:pPr>
      <w: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6E1A40" w:rsidRDefault="006E1A40" w:rsidP="006E1A40">
      <w:pPr>
        <w:ind w:left="720"/>
      </w:pPr>
    </w:p>
    <w:p w:rsidR="004B380D" w:rsidRDefault="004B380D" w:rsidP="006E1A40">
      <w:pPr>
        <w:ind w:left="720"/>
      </w:pPr>
    </w:p>
    <w:p w:rsidR="004B380D" w:rsidRDefault="004B380D" w:rsidP="006E1A40">
      <w:pPr>
        <w:ind w:left="720"/>
      </w:pPr>
    </w:p>
    <w:p w:rsidR="006E1A40" w:rsidRDefault="006E1A40" w:rsidP="006E1A40">
      <w:pPr>
        <w:ind w:left="720"/>
      </w:pPr>
      <w: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r w:rsidR="00701F50">
        <w:t xml:space="preserve"> </w:t>
      </w:r>
    </w:p>
    <w:p w:rsidR="006E1A40" w:rsidRDefault="006E1A40" w:rsidP="006E1A40">
      <w:pPr>
        <w:ind w:left="720"/>
      </w:pPr>
    </w:p>
    <w:p w:rsidR="006E1A40" w:rsidRDefault="006E1A40" w:rsidP="006E1A40">
      <w:pPr>
        <w:pStyle w:val="ListParagraph"/>
        <w:numPr>
          <w:ilvl w:val="0"/>
          <w:numId w:val="26"/>
        </w:numPr>
      </w:pPr>
      <w:r>
        <w:t xml:space="preserve">Market risk </w:t>
      </w:r>
    </w:p>
    <w:p w:rsidR="006E1A40" w:rsidRDefault="006E1A40" w:rsidP="006E1A40"/>
    <w:p w:rsidR="006E1A40" w:rsidRDefault="006E1A40" w:rsidP="006E1A40">
      <w:pPr>
        <w:ind w:left="709"/>
      </w:pPr>
      <w: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6E1A40" w:rsidRDefault="006E1A40" w:rsidP="006E1A40">
      <w:pPr>
        <w:ind w:left="709"/>
      </w:pPr>
    </w:p>
    <w:p w:rsidR="006E1A40" w:rsidRDefault="006E1A40" w:rsidP="006E1A40">
      <w:pPr>
        <w:ind w:left="709"/>
      </w:pPr>
      <w:r>
        <w:t>The objective of the Fund's risk management strategy is to identify, manage and keep market risk exposure within acceptable parameters, whilst optimising the return on risk.</w:t>
      </w:r>
    </w:p>
    <w:p w:rsidR="006E1A40" w:rsidRDefault="006E1A40" w:rsidP="006E1A40">
      <w:pPr>
        <w:ind w:left="709"/>
      </w:pPr>
    </w:p>
    <w:p w:rsidR="006E1A40" w:rsidRDefault="006E1A40" w:rsidP="006E1A40">
      <w:pPr>
        <w:ind w:left="709"/>
      </w:pPr>
      <w: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CD72BB" w:rsidRDefault="00CD72BB" w:rsidP="006E1A40">
      <w:pPr>
        <w:ind w:left="709"/>
      </w:pPr>
    </w:p>
    <w:p w:rsidR="006E1A40" w:rsidRDefault="006E1A40" w:rsidP="006E1A40">
      <w:pPr>
        <w:ind w:left="709"/>
      </w:pPr>
    </w:p>
    <w:p w:rsidR="006E1A40" w:rsidRDefault="006E1A40" w:rsidP="006E1A40">
      <w:pPr>
        <w:ind w:left="720"/>
      </w:pPr>
      <w:r>
        <w:rPr>
          <w:b/>
        </w:rPr>
        <w:t xml:space="preserve">Other price risk </w:t>
      </w:r>
      <w:r>
        <w:t xml:space="preserve"> </w:t>
      </w:r>
    </w:p>
    <w:p w:rsidR="006E1A40" w:rsidRDefault="006E1A40" w:rsidP="006E1A40">
      <w:pPr>
        <w:ind w:left="720"/>
      </w:pPr>
    </w:p>
    <w:p w:rsidR="006E1A40" w:rsidRDefault="006E1A40" w:rsidP="006E1A40">
      <w:pPr>
        <w:spacing w:after="240"/>
        <w:ind w:left="720"/>
        <w:jc w:val="both"/>
        <w:rPr>
          <w:szCs w:val="24"/>
        </w:rPr>
      </w:pPr>
      <w: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6E1A40" w:rsidRDefault="006E1A40" w:rsidP="006E1A40">
      <w:pPr>
        <w:ind w:left="720"/>
      </w:pPr>
      <w:r>
        <w:t xml:space="preserve">The Fund is exposed to share and derivatives price risk.  This arises from investments held by the Fund for which the future price is uncertain.  All securities investments present a risk of loss of capital.  Except for shares sold short, the maximum risk resulting from financial </w:t>
      </w:r>
    </w:p>
    <w:p w:rsidR="006E1A40" w:rsidRDefault="006E1A40" w:rsidP="006E1A40">
      <w:pPr>
        <w:ind w:left="720"/>
      </w:pPr>
      <w:proofErr w:type="gramStart"/>
      <w:r>
        <w:t>instruments</w:t>
      </w:r>
      <w:proofErr w:type="gramEnd"/>
      <w:r>
        <w:t xml:space="preserve"> is determined by the fair value of the financial instruments.  </w:t>
      </w:r>
      <w:proofErr w:type="gramStart"/>
      <w:r>
        <w:t>Possible losses from shares sold short is</w:t>
      </w:r>
      <w:proofErr w:type="gramEnd"/>
      <w:r>
        <w:t xml:space="preserve"> unlimited. </w:t>
      </w:r>
    </w:p>
    <w:p w:rsidR="006E1A40" w:rsidRDefault="006E1A40" w:rsidP="006E1A40">
      <w:pPr>
        <w:ind w:left="720"/>
      </w:pPr>
    </w:p>
    <w:p w:rsidR="006E1A40" w:rsidRDefault="006E1A40" w:rsidP="006E1A40">
      <w:pPr>
        <w:ind w:left="720"/>
      </w:pPr>
      <w:r>
        <w:t xml:space="preserve">The Fund's investment managers mitigate this price risk through diversification.  The selection of securities and other financial instruments is monitored by the Fund to ensure it is within limits specified in the fund investment strategy. </w:t>
      </w:r>
    </w:p>
    <w:p w:rsidR="00CD72BB" w:rsidRDefault="00CD72BB" w:rsidP="006E1A40">
      <w:pPr>
        <w:ind w:left="720"/>
      </w:pPr>
    </w:p>
    <w:p w:rsidR="006E1A40" w:rsidRDefault="006E1A40" w:rsidP="006E1A40">
      <w:pPr>
        <w:ind w:left="720"/>
      </w:pPr>
    </w:p>
    <w:p w:rsidR="006E1A40" w:rsidRDefault="006E1A40" w:rsidP="006E1A40">
      <w:pPr>
        <w:ind w:left="720"/>
        <w:rPr>
          <w:b/>
        </w:rPr>
      </w:pPr>
      <w:r>
        <w:rPr>
          <w:b/>
        </w:rPr>
        <w:t>Other price risk – sensitivity analysis</w:t>
      </w:r>
    </w:p>
    <w:p w:rsidR="006E1A40" w:rsidRDefault="006E1A40" w:rsidP="006E1A40">
      <w:pPr>
        <w:ind w:left="720"/>
        <w:rPr>
          <w:b/>
        </w:rPr>
      </w:pPr>
    </w:p>
    <w:p w:rsidR="006E1A40" w:rsidRDefault="006E1A40" w:rsidP="006E1A40">
      <w:pPr>
        <w:ind w:left="720"/>
      </w:pPr>
      <w:r>
        <w:t>Following analysis of historical data and expected investment return movement during the financial year, in consultation with the Fund's investment advisors, the Fund has determined that the following movements in market price risks are reasonably possible for the 2012</w:t>
      </w:r>
      <w:r w:rsidR="00100128">
        <w:t>/13</w:t>
      </w:r>
      <w:r>
        <w:t xml:space="preserve"> reporting period. </w:t>
      </w:r>
    </w:p>
    <w:p w:rsidR="006E1A40" w:rsidRDefault="006E1A40" w:rsidP="006E1A40">
      <w:pPr>
        <w:ind w:left="720"/>
      </w:pPr>
    </w:p>
    <w:p w:rsidR="00CD72BB" w:rsidRDefault="00CD72BB" w:rsidP="006E1A40">
      <w:pPr>
        <w:ind w:left="720"/>
      </w:pPr>
    </w:p>
    <w:p w:rsidR="00CD72BB" w:rsidRDefault="00CD72BB" w:rsidP="006E1A40">
      <w:pPr>
        <w:ind w:left="720"/>
      </w:pPr>
    </w:p>
    <w:p w:rsidR="00CD72BB" w:rsidRDefault="00CD72BB" w:rsidP="006E1A40">
      <w:pPr>
        <w:ind w:left="720"/>
      </w:pPr>
    </w:p>
    <w:p w:rsidR="00CD72BB" w:rsidRDefault="00CD72BB" w:rsidP="006E1A40">
      <w:pPr>
        <w:ind w:left="720"/>
      </w:pPr>
    </w:p>
    <w:p w:rsidR="00CD72BB" w:rsidRDefault="00CD72BB" w:rsidP="006E1A40">
      <w:pPr>
        <w:ind w:left="720"/>
      </w:pPr>
    </w:p>
    <w:tbl>
      <w:tblPr>
        <w:tblStyle w:val="TableGrid"/>
        <w:tblW w:w="0" w:type="auto"/>
        <w:tblInd w:w="720" w:type="dxa"/>
        <w:tblBorders>
          <w:left w:val="none" w:sz="0" w:space="0" w:color="auto"/>
          <w:right w:val="none" w:sz="0" w:space="0" w:color="auto"/>
          <w:insideV w:val="none" w:sz="0" w:space="0" w:color="auto"/>
        </w:tblBorders>
        <w:tblLook w:val="04A0"/>
      </w:tblPr>
      <w:tblGrid>
        <w:gridCol w:w="4066"/>
        <w:gridCol w:w="5670"/>
      </w:tblGrid>
      <w:tr w:rsidR="006E1A40" w:rsidTr="003A51AD">
        <w:tc>
          <w:tcPr>
            <w:tcW w:w="4066" w:type="dxa"/>
          </w:tcPr>
          <w:p w:rsidR="006E1A40" w:rsidRPr="006E1A40" w:rsidRDefault="00670114" w:rsidP="006E1A40">
            <w:pPr>
              <w:rPr>
                <w:sz w:val="22"/>
                <w:szCs w:val="22"/>
              </w:rPr>
            </w:pPr>
            <w:r w:rsidRPr="00670114">
              <w:rPr>
                <w:sz w:val="22"/>
                <w:szCs w:val="22"/>
              </w:rPr>
              <w:t xml:space="preserve">Asset Type </w:t>
            </w:r>
          </w:p>
        </w:tc>
        <w:tc>
          <w:tcPr>
            <w:tcW w:w="5670" w:type="dxa"/>
          </w:tcPr>
          <w:p w:rsidR="006E1A40" w:rsidRPr="006E1A40" w:rsidRDefault="00670114" w:rsidP="006E1A40">
            <w:pPr>
              <w:jc w:val="right"/>
              <w:rPr>
                <w:sz w:val="22"/>
                <w:szCs w:val="22"/>
              </w:rPr>
            </w:pPr>
            <w:r w:rsidRPr="00670114">
              <w:rPr>
                <w:sz w:val="22"/>
                <w:szCs w:val="22"/>
              </w:rPr>
              <w:t>Potential market movements (+/</w:t>
            </w:r>
            <w:r w:rsidRPr="00670114">
              <w:rPr>
                <w:sz w:val="22"/>
                <w:szCs w:val="22"/>
              </w:rPr>
              <w:softHyphen/>
              <w:t>-)</w:t>
            </w:r>
          </w:p>
        </w:tc>
      </w:tr>
      <w:tr w:rsidR="006E1A40" w:rsidTr="003A51AD">
        <w:tc>
          <w:tcPr>
            <w:tcW w:w="4066" w:type="dxa"/>
          </w:tcPr>
          <w:p w:rsidR="006E1A40" w:rsidRPr="006E1A40" w:rsidRDefault="00670114" w:rsidP="006E1A40">
            <w:pPr>
              <w:rPr>
                <w:sz w:val="22"/>
                <w:szCs w:val="22"/>
              </w:rPr>
            </w:pPr>
            <w:r w:rsidRPr="00670114">
              <w:rPr>
                <w:sz w:val="22"/>
                <w:szCs w:val="22"/>
              </w:rPr>
              <w:t>UK Bonds</w:t>
            </w:r>
          </w:p>
        </w:tc>
        <w:tc>
          <w:tcPr>
            <w:tcW w:w="5670" w:type="dxa"/>
          </w:tcPr>
          <w:p w:rsidR="006E1A40" w:rsidRPr="006E1A40" w:rsidRDefault="00670114" w:rsidP="006E1A40">
            <w:pPr>
              <w:jc w:val="right"/>
              <w:rPr>
                <w:sz w:val="22"/>
                <w:szCs w:val="22"/>
              </w:rPr>
            </w:pPr>
            <w:r w:rsidRPr="00670114">
              <w:rPr>
                <w:sz w:val="22"/>
                <w:szCs w:val="22"/>
              </w:rPr>
              <w:t>4.6%</w:t>
            </w:r>
          </w:p>
        </w:tc>
      </w:tr>
      <w:tr w:rsidR="006E1A40" w:rsidTr="003A51AD">
        <w:tc>
          <w:tcPr>
            <w:tcW w:w="4066" w:type="dxa"/>
          </w:tcPr>
          <w:p w:rsidR="006E1A40" w:rsidRPr="006E1A40" w:rsidRDefault="00670114" w:rsidP="006E1A40">
            <w:pPr>
              <w:rPr>
                <w:sz w:val="22"/>
                <w:szCs w:val="22"/>
              </w:rPr>
            </w:pPr>
            <w:r w:rsidRPr="00670114">
              <w:rPr>
                <w:sz w:val="22"/>
                <w:szCs w:val="22"/>
              </w:rPr>
              <w:t xml:space="preserve">Overseas bonds </w:t>
            </w:r>
          </w:p>
        </w:tc>
        <w:tc>
          <w:tcPr>
            <w:tcW w:w="5670" w:type="dxa"/>
          </w:tcPr>
          <w:p w:rsidR="006E1A40" w:rsidRPr="006E1A40" w:rsidRDefault="00670114" w:rsidP="006E1A40">
            <w:pPr>
              <w:jc w:val="right"/>
              <w:rPr>
                <w:sz w:val="22"/>
                <w:szCs w:val="22"/>
              </w:rPr>
            </w:pPr>
            <w:r w:rsidRPr="00670114">
              <w:rPr>
                <w:sz w:val="22"/>
                <w:szCs w:val="22"/>
              </w:rPr>
              <w:t>8.7%</w:t>
            </w:r>
          </w:p>
        </w:tc>
      </w:tr>
      <w:tr w:rsidR="006E1A40" w:rsidTr="003A51AD">
        <w:tc>
          <w:tcPr>
            <w:tcW w:w="4066" w:type="dxa"/>
          </w:tcPr>
          <w:p w:rsidR="006E1A40" w:rsidRPr="006E1A40" w:rsidRDefault="00670114" w:rsidP="006E1A40">
            <w:pPr>
              <w:rPr>
                <w:sz w:val="22"/>
                <w:szCs w:val="22"/>
              </w:rPr>
            </w:pPr>
            <w:r w:rsidRPr="00670114">
              <w:rPr>
                <w:sz w:val="22"/>
                <w:szCs w:val="22"/>
              </w:rPr>
              <w:t xml:space="preserve">UK equities </w:t>
            </w:r>
          </w:p>
        </w:tc>
        <w:tc>
          <w:tcPr>
            <w:tcW w:w="5670" w:type="dxa"/>
          </w:tcPr>
          <w:p w:rsidR="006E1A40" w:rsidRPr="006E1A40" w:rsidRDefault="00670114" w:rsidP="006E1A40">
            <w:pPr>
              <w:jc w:val="right"/>
              <w:rPr>
                <w:sz w:val="22"/>
                <w:szCs w:val="22"/>
              </w:rPr>
            </w:pPr>
            <w:r w:rsidRPr="00670114">
              <w:rPr>
                <w:sz w:val="22"/>
                <w:szCs w:val="22"/>
              </w:rPr>
              <w:t>12.8%</w:t>
            </w:r>
          </w:p>
        </w:tc>
      </w:tr>
      <w:tr w:rsidR="006E1A40" w:rsidTr="003A51AD">
        <w:tc>
          <w:tcPr>
            <w:tcW w:w="4066" w:type="dxa"/>
          </w:tcPr>
          <w:p w:rsidR="006E1A40" w:rsidRPr="006E1A40" w:rsidRDefault="00670114" w:rsidP="006E1A40">
            <w:pPr>
              <w:rPr>
                <w:sz w:val="22"/>
                <w:szCs w:val="22"/>
              </w:rPr>
            </w:pPr>
            <w:r w:rsidRPr="00670114">
              <w:rPr>
                <w:sz w:val="22"/>
                <w:szCs w:val="22"/>
              </w:rPr>
              <w:t xml:space="preserve">Overseas equities </w:t>
            </w:r>
          </w:p>
        </w:tc>
        <w:tc>
          <w:tcPr>
            <w:tcW w:w="5670" w:type="dxa"/>
          </w:tcPr>
          <w:p w:rsidR="006E1A40" w:rsidRPr="006E1A40" w:rsidRDefault="00670114" w:rsidP="006E1A40">
            <w:pPr>
              <w:jc w:val="right"/>
              <w:rPr>
                <w:sz w:val="22"/>
                <w:szCs w:val="22"/>
              </w:rPr>
            </w:pPr>
            <w:r w:rsidRPr="00670114">
              <w:rPr>
                <w:sz w:val="22"/>
                <w:szCs w:val="22"/>
              </w:rPr>
              <w:t>12.8%</w:t>
            </w:r>
          </w:p>
        </w:tc>
      </w:tr>
      <w:tr w:rsidR="006E1A40" w:rsidTr="003A51AD">
        <w:tc>
          <w:tcPr>
            <w:tcW w:w="4066" w:type="dxa"/>
          </w:tcPr>
          <w:p w:rsidR="006E1A40" w:rsidRPr="006E1A40" w:rsidRDefault="00670114" w:rsidP="006E1A40">
            <w:pPr>
              <w:rPr>
                <w:sz w:val="22"/>
                <w:szCs w:val="22"/>
              </w:rPr>
            </w:pPr>
            <w:r w:rsidRPr="00670114">
              <w:rPr>
                <w:sz w:val="22"/>
                <w:szCs w:val="22"/>
              </w:rPr>
              <w:t xml:space="preserve">Index linked Gilts </w:t>
            </w:r>
          </w:p>
        </w:tc>
        <w:tc>
          <w:tcPr>
            <w:tcW w:w="5670" w:type="dxa"/>
          </w:tcPr>
          <w:p w:rsidR="006E1A40" w:rsidRPr="006E1A40" w:rsidRDefault="00670114" w:rsidP="006E1A40">
            <w:pPr>
              <w:jc w:val="right"/>
              <w:rPr>
                <w:sz w:val="22"/>
                <w:szCs w:val="22"/>
              </w:rPr>
            </w:pPr>
            <w:r w:rsidRPr="00670114">
              <w:rPr>
                <w:sz w:val="22"/>
                <w:szCs w:val="22"/>
              </w:rPr>
              <w:t>8.1%</w:t>
            </w:r>
          </w:p>
        </w:tc>
      </w:tr>
      <w:tr w:rsidR="006E1A40" w:rsidTr="003A51AD">
        <w:tc>
          <w:tcPr>
            <w:tcW w:w="4066" w:type="dxa"/>
          </w:tcPr>
          <w:p w:rsidR="006E1A40" w:rsidRPr="006E1A40" w:rsidRDefault="00670114" w:rsidP="006E1A40">
            <w:pPr>
              <w:rPr>
                <w:sz w:val="22"/>
                <w:szCs w:val="22"/>
              </w:rPr>
            </w:pPr>
            <w:r w:rsidRPr="00670114">
              <w:rPr>
                <w:sz w:val="22"/>
                <w:szCs w:val="22"/>
              </w:rPr>
              <w:t>Cash</w:t>
            </w:r>
          </w:p>
        </w:tc>
        <w:tc>
          <w:tcPr>
            <w:tcW w:w="5670" w:type="dxa"/>
          </w:tcPr>
          <w:p w:rsidR="006E1A40" w:rsidRPr="006E1A40" w:rsidRDefault="00670114" w:rsidP="006E1A40">
            <w:pPr>
              <w:jc w:val="right"/>
              <w:rPr>
                <w:sz w:val="22"/>
                <w:szCs w:val="22"/>
              </w:rPr>
            </w:pPr>
            <w:r w:rsidRPr="00670114">
              <w:rPr>
                <w:sz w:val="22"/>
                <w:szCs w:val="22"/>
              </w:rPr>
              <w:t>0%</w:t>
            </w:r>
          </w:p>
        </w:tc>
      </w:tr>
      <w:tr w:rsidR="006E1A40" w:rsidTr="003A51AD">
        <w:tc>
          <w:tcPr>
            <w:tcW w:w="4066" w:type="dxa"/>
          </w:tcPr>
          <w:p w:rsidR="006E1A40" w:rsidRPr="006E1A40" w:rsidRDefault="00670114" w:rsidP="006E1A40">
            <w:pPr>
              <w:rPr>
                <w:sz w:val="22"/>
                <w:szCs w:val="22"/>
              </w:rPr>
            </w:pPr>
            <w:r w:rsidRPr="00670114">
              <w:rPr>
                <w:sz w:val="22"/>
                <w:szCs w:val="22"/>
              </w:rPr>
              <w:t xml:space="preserve">Alternatives </w:t>
            </w:r>
          </w:p>
        </w:tc>
        <w:tc>
          <w:tcPr>
            <w:tcW w:w="5670" w:type="dxa"/>
          </w:tcPr>
          <w:p w:rsidR="006E1A40" w:rsidRPr="006E1A40" w:rsidRDefault="00670114" w:rsidP="006E1A40">
            <w:pPr>
              <w:jc w:val="right"/>
              <w:rPr>
                <w:sz w:val="22"/>
                <w:szCs w:val="22"/>
              </w:rPr>
            </w:pPr>
            <w:r w:rsidRPr="00670114">
              <w:rPr>
                <w:sz w:val="22"/>
                <w:szCs w:val="22"/>
              </w:rPr>
              <w:t>3.6%</w:t>
            </w:r>
          </w:p>
        </w:tc>
      </w:tr>
      <w:tr w:rsidR="006E1A40" w:rsidTr="003A51AD">
        <w:tc>
          <w:tcPr>
            <w:tcW w:w="4066" w:type="dxa"/>
          </w:tcPr>
          <w:p w:rsidR="006E1A40" w:rsidRPr="006E1A40" w:rsidRDefault="00670114" w:rsidP="006E1A40">
            <w:pPr>
              <w:rPr>
                <w:sz w:val="22"/>
                <w:szCs w:val="22"/>
              </w:rPr>
            </w:pPr>
            <w:r w:rsidRPr="00670114">
              <w:rPr>
                <w:sz w:val="22"/>
                <w:szCs w:val="22"/>
              </w:rPr>
              <w:t>Property</w:t>
            </w:r>
          </w:p>
        </w:tc>
        <w:tc>
          <w:tcPr>
            <w:tcW w:w="5670" w:type="dxa"/>
          </w:tcPr>
          <w:p w:rsidR="006E1A40" w:rsidRPr="006E1A40" w:rsidRDefault="00670114" w:rsidP="006E1A40">
            <w:pPr>
              <w:jc w:val="right"/>
              <w:rPr>
                <w:sz w:val="22"/>
                <w:szCs w:val="22"/>
              </w:rPr>
            </w:pPr>
            <w:r w:rsidRPr="00670114">
              <w:rPr>
                <w:sz w:val="22"/>
                <w:szCs w:val="22"/>
              </w:rPr>
              <w:t>1.8%</w:t>
            </w:r>
          </w:p>
        </w:tc>
      </w:tr>
    </w:tbl>
    <w:p w:rsidR="006E1A40" w:rsidRDefault="006E1A40" w:rsidP="006E1A40">
      <w:pPr>
        <w:ind w:left="720"/>
      </w:pPr>
      <w:r>
        <w:t xml:space="preserve"> </w:t>
      </w:r>
    </w:p>
    <w:p w:rsidR="006E1A40" w:rsidRDefault="006E1A40" w:rsidP="006E1A40">
      <w:pPr>
        <w:ind w:left="720"/>
      </w:pPr>
      <w:r>
        <w:t xml:space="preserve">The potential price changes disclosed above are broadly consistent with a one-standard deviation movement in value of the asset.  The sensitivities are consistent with the assumption contained in the investment advisors' most recent review.  This analysis assumes that all other variables, in particular foreign currency exchange rates and interest rates, remain the same. </w:t>
      </w:r>
    </w:p>
    <w:p w:rsidR="006E1A40" w:rsidRDefault="006E1A40" w:rsidP="006E1A40">
      <w:pPr>
        <w:ind w:left="720"/>
      </w:pPr>
      <w:r>
        <w:t>Had the market of the Fund's investments increased/decreased in line with the above, the change in the net assets available to pay benefits in the market place would have been as follows (the prior year comparator is shown below):</w:t>
      </w:r>
    </w:p>
    <w:p w:rsidR="004B380D" w:rsidRDefault="004B380D" w:rsidP="006E1A40">
      <w:pPr>
        <w:ind w:left="720"/>
      </w:pPr>
    </w:p>
    <w:p w:rsidR="006E1A40" w:rsidRDefault="006E1A40" w:rsidP="006E1A40">
      <w:pPr>
        <w:ind w:left="720"/>
      </w:pPr>
    </w:p>
    <w:tbl>
      <w:tblPr>
        <w:tblStyle w:val="TableGrid"/>
        <w:tblW w:w="17292" w:type="dxa"/>
        <w:tblInd w:w="-851" w:type="dxa"/>
        <w:tblLook w:val="04A0"/>
      </w:tblPr>
      <w:tblGrid>
        <w:gridCol w:w="1566"/>
        <w:gridCol w:w="3504"/>
        <w:gridCol w:w="132"/>
        <w:gridCol w:w="492"/>
        <w:gridCol w:w="1490"/>
        <w:gridCol w:w="142"/>
        <w:gridCol w:w="1444"/>
        <w:gridCol w:w="1275"/>
        <w:gridCol w:w="1404"/>
        <w:gridCol w:w="63"/>
        <w:gridCol w:w="5780"/>
      </w:tblGrid>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Asset Type</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Value as at 31</w:t>
            </w:r>
          </w:p>
          <w:p w:rsidR="00E1306D" w:rsidRDefault="00E1306D" w:rsidP="00E1306D">
            <w:pPr>
              <w:jc w:val="right"/>
            </w:pPr>
            <w:r>
              <w:t>March 2013</w:t>
            </w:r>
          </w:p>
        </w:tc>
        <w:tc>
          <w:tcPr>
            <w:tcW w:w="1586" w:type="dxa"/>
            <w:gridSpan w:val="2"/>
            <w:tcBorders>
              <w:top w:val="single" w:sz="4" w:space="0" w:color="auto"/>
              <w:left w:val="nil"/>
              <w:bottom w:val="single" w:sz="4" w:space="0" w:color="auto"/>
              <w:right w:val="nil"/>
            </w:tcBorders>
          </w:tcPr>
          <w:p w:rsidR="00E1306D" w:rsidRDefault="00E1306D" w:rsidP="00E1306D">
            <w:pPr>
              <w:jc w:val="right"/>
            </w:pPr>
            <w:r>
              <w:t xml:space="preserve">Percentage Change </w:t>
            </w:r>
          </w:p>
        </w:tc>
        <w:tc>
          <w:tcPr>
            <w:tcW w:w="1275" w:type="dxa"/>
            <w:tcBorders>
              <w:top w:val="single" w:sz="4" w:space="0" w:color="auto"/>
              <w:left w:val="nil"/>
              <w:bottom w:val="single" w:sz="4" w:space="0" w:color="auto"/>
              <w:right w:val="nil"/>
            </w:tcBorders>
          </w:tcPr>
          <w:p w:rsidR="00E1306D" w:rsidRDefault="00E1306D" w:rsidP="00E1306D">
            <w:pPr>
              <w:jc w:val="right"/>
            </w:pPr>
            <w:r>
              <w:t xml:space="preserve">Value on Increase </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 xml:space="preserve">Value on </w:t>
            </w:r>
          </w:p>
          <w:p w:rsidR="00E1306D" w:rsidRDefault="00E1306D" w:rsidP="00E1306D">
            <w:pPr>
              <w:jc w:val="right"/>
            </w:pPr>
            <w:r>
              <w:t xml:space="preserve">Decrease </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pPr>
              <w:rPr>
                <w:b/>
              </w:rPr>
            </w:pP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£m</w:t>
            </w:r>
          </w:p>
        </w:tc>
        <w:tc>
          <w:tcPr>
            <w:tcW w:w="1586" w:type="dxa"/>
            <w:gridSpan w:val="2"/>
            <w:tcBorders>
              <w:top w:val="single" w:sz="4" w:space="0" w:color="auto"/>
              <w:left w:val="nil"/>
              <w:bottom w:val="single" w:sz="4" w:space="0" w:color="auto"/>
              <w:right w:val="nil"/>
            </w:tcBorders>
          </w:tcPr>
          <w:p w:rsidR="00E1306D" w:rsidRDefault="00E1306D" w:rsidP="00E1306D">
            <w:pPr>
              <w:jc w:val="right"/>
            </w:pPr>
            <w:r>
              <w:t>%</w:t>
            </w:r>
          </w:p>
        </w:tc>
        <w:tc>
          <w:tcPr>
            <w:tcW w:w="1275" w:type="dxa"/>
            <w:tcBorders>
              <w:top w:val="single" w:sz="4" w:space="0" w:color="auto"/>
              <w:left w:val="nil"/>
              <w:bottom w:val="single" w:sz="4" w:space="0" w:color="auto"/>
              <w:right w:val="nil"/>
            </w:tcBorders>
          </w:tcPr>
          <w:p w:rsidR="00E1306D" w:rsidRDefault="00E1306D" w:rsidP="00E1306D">
            <w:pPr>
              <w:jc w:val="right"/>
            </w:pPr>
            <w:r>
              <w:t>£m</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 xml:space="preserve">£m </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Pr="007D6045" w:rsidRDefault="00E1306D" w:rsidP="00E1306D">
            <w:pPr>
              <w:rPr>
                <w:b/>
              </w:rPr>
            </w:pPr>
            <w:r w:rsidRPr="007D6045">
              <w:rPr>
                <w:b/>
              </w:rPr>
              <w:t xml:space="preserve">Cash and Cash equivalents </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195.1</w:t>
            </w:r>
          </w:p>
        </w:tc>
        <w:tc>
          <w:tcPr>
            <w:tcW w:w="1586" w:type="dxa"/>
            <w:gridSpan w:val="2"/>
            <w:tcBorders>
              <w:top w:val="single" w:sz="4" w:space="0" w:color="auto"/>
              <w:left w:val="nil"/>
              <w:bottom w:val="single" w:sz="4" w:space="0" w:color="auto"/>
              <w:right w:val="nil"/>
            </w:tcBorders>
          </w:tcPr>
          <w:p w:rsidR="00E1306D" w:rsidRDefault="00E1306D" w:rsidP="00E1306D">
            <w:pPr>
              <w:jc w:val="right"/>
            </w:pPr>
            <w:r>
              <w:t>0.0%</w:t>
            </w:r>
          </w:p>
        </w:tc>
        <w:tc>
          <w:tcPr>
            <w:tcW w:w="1275" w:type="dxa"/>
            <w:tcBorders>
              <w:top w:val="single" w:sz="4" w:space="0" w:color="auto"/>
              <w:left w:val="nil"/>
              <w:bottom w:val="single" w:sz="4" w:space="0" w:color="auto"/>
              <w:right w:val="nil"/>
            </w:tcBorders>
          </w:tcPr>
          <w:p w:rsidR="00E1306D" w:rsidRDefault="00E1306D" w:rsidP="00E1306D">
            <w:pPr>
              <w:jc w:val="right"/>
            </w:pPr>
            <w:r>
              <w:t>195.1</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195.1</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Pr="007D6045" w:rsidRDefault="00E1306D" w:rsidP="00E1306D">
            <w:pPr>
              <w:rPr>
                <w:b/>
              </w:rPr>
            </w:pPr>
            <w:r w:rsidRPr="007D6045">
              <w:rPr>
                <w:b/>
              </w:rPr>
              <w:t>Investment portfolio assets:</w:t>
            </w:r>
          </w:p>
        </w:tc>
        <w:tc>
          <w:tcPr>
            <w:tcW w:w="2114" w:type="dxa"/>
            <w:gridSpan w:val="3"/>
            <w:tcBorders>
              <w:top w:val="single" w:sz="4" w:space="0" w:color="auto"/>
              <w:left w:val="nil"/>
              <w:bottom w:val="single" w:sz="4" w:space="0" w:color="auto"/>
              <w:right w:val="nil"/>
            </w:tcBorders>
          </w:tcPr>
          <w:p w:rsidR="00E1306D" w:rsidRDefault="00E1306D" w:rsidP="00E1306D"/>
        </w:tc>
        <w:tc>
          <w:tcPr>
            <w:tcW w:w="1586" w:type="dxa"/>
            <w:gridSpan w:val="2"/>
            <w:tcBorders>
              <w:top w:val="single" w:sz="4" w:space="0" w:color="auto"/>
              <w:left w:val="nil"/>
              <w:bottom w:val="single" w:sz="4" w:space="0" w:color="auto"/>
              <w:right w:val="nil"/>
            </w:tcBorders>
          </w:tcPr>
          <w:p w:rsidR="00E1306D" w:rsidRDefault="00E1306D" w:rsidP="00E1306D"/>
        </w:tc>
        <w:tc>
          <w:tcPr>
            <w:tcW w:w="1275" w:type="dxa"/>
            <w:tcBorders>
              <w:top w:val="single" w:sz="4" w:space="0" w:color="auto"/>
              <w:left w:val="nil"/>
              <w:bottom w:val="single" w:sz="4" w:space="0" w:color="auto"/>
              <w:right w:val="nil"/>
            </w:tcBorders>
          </w:tcPr>
          <w:p w:rsidR="00E1306D" w:rsidRDefault="00E1306D" w:rsidP="00E1306D"/>
        </w:tc>
        <w:tc>
          <w:tcPr>
            <w:tcW w:w="1467" w:type="dxa"/>
            <w:gridSpan w:val="2"/>
            <w:tcBorders>
              <w:top w:val="single" w:sz="4" w:space="0" w:color="auto"/>
              <w:left w:val="nil"/>
              <w:bottom w:val="single" w:sz="4" w:space="0" w:color="auto"/>
              <w:right w:val="nil"/>
            </w:tcBorders>
          </w:tcPr>
          <w:p w:rsidR="00E1306D" w:rsidRDefault="00E1306D" w:rsidP="00E1306D">
            <w:pPr>
              <w:jc w:val="right"/>
            </w:pP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 xml:space="preserve">UK bonds </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519.9</w:t>
            </w:r>
          </w:p>
        </w:tc>
        <w:tc>
          <w:tcPr>
            <w:tcW w:w="1586" w:type="dxa"/>
            <w:gridSpan w:val="2"/>
            <w:tcBorders>
              <w:top w:val="single" w:sz="4" w:space="0" w:color="auto"/>
              <w:left w:val="nil"/>
              <w:bottom w:val="single" w:sz="4" w:space="0" w:color="auto"/>
              <w:right w:val="nil"/>
            </w:tcBorders>
          </w:tcPr>
          <w:p w:rsidR="00E1306D" w:rsidRPr="00E03AB4" w:rsidRDefault="00E1306D" w:rsidP="00E1306D">
            <w:pPr>
              <w:jc w:val="right"/>
            </w:pPr>
            <w:r w:rsidRPr="00E03AB4">
              <w:t>4.6%</w:t>
            </w:r>
          </w:p>
        </w:tc>
        <w:tc>
          <w:tcPr>
            <w:tcW w:w="1275" w:type="dxa"/>
            <w:tcBorders>
              <w:top w:val="single" w:sz="4" w:space="0" w:color="auto"/>
              <w:left w:val="nil"/>
              <w:bottom w:val="single" w:sz="4" w:space="0" w:color="auto"/>
              <w:right w:val="nil"/>
            </w:tcBorders>
          </w:tcPr>
          <w:p w:rsidR="00E1306D" w:rsidRDefault="00E1306D" w:rsidP="00E1306D">
            <w:pPr>
              <w:jc w:val="right"/>
            </w:pPr>
            <w:r>
              <w:t>543.6</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496.1</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Overseas bonds</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323.7</w:t>
            </w:r>
          </w:p>
        </w:tc>
        <w:tc>
          <w:tcPr>
            <w:tcW w:w="1586" w:type="dxa"/>
            <w:gridSpan w:val="2"/>
            <w:tcBorders>
              <w:top w:val="single" w:sz="4" w:space="0" w:color="auto"/>
              <w:left w:val="nil"/>
              <w:bottom w:val="single" w:sz="4" w:space="0" w:color="auto"/>
              <w:right w:val="nil"/>
            </w:tcBorders>
          </w:tcPr>
          <w:p w:rsidR="00E1306D" w:rsidRPr="00E03AB4" w:rsidRDefault="00E1306D" w:rsidP="00E1306D">
            <w:pPr>
              <w:jc w:val="right"/>
            </w:pPr>
            <w:r w:rsidRPr="00E03AB4">
              <w:t>8.7%</w:t>
            </w:r>
          </w:p>
        </w:tc>
        <w:tc>
          <w:tcPr>
            <w:tcW w:w="1275" w:type="dxa"/>
            <w:tcBorders>
              <w:top w:val="single" w:sz="4" w:space="0" w:color="auto"/>
              <w:left w:val="nil"/>
              <w:bottom w:val="single" w:sz="4" w:space="0" w:color="auto"/>
              <w:right w:val="nil"/>
            </w:tcBorders>
          </w:tcPr>
          <w:p w:rsidR="00E1306D" w:rsidRDefault="00E1306D" w:rsidP="00E1306D">
            <w:pPr>
              <w:jc w:val="right"/>
            </w:pPr>
            <w:r>
              <w:t>351.8</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295.6</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 xml:space="preserve">Total equities </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1,749.3</w:t>
            </w:r>
          </w:p>
        </w:tc>
        <w:tc>
          <w:tcPr>
            <w:tcW w:w="1586" w:type="dxa"/>
            <w:gridSpan w:val="2"/>
            <w:tcBorders>
              <w:top w:val="single" w:sz="4" w:space="0" w:color="auto"/>
              <w:left w:val="nil"/>
              <w:bottom w:val="single" w:sz="4" w:space="0" w:color="auto"/>
              <w:right w:val="nil"/>
            </w:tcBorders>
          </w:tcPr>
          <w:p w:rsidR="00E1306D" w:rsidRPr="00E03AB4" w:rsidRDefault="00E1306D" w:rsidP="00E1306D">
            <w:pPr>
              <w:jc w:val="right"/>
            </w:pPr>
            <w:r w:rsidRPr="00E03AB4">
              <w:t>12.8%</w:t>
            </w:r>
          </w:p>
        </w:tc>
        <w:tc>
          <w:tcPr>
            <w:tcW w:w="1275" w:type="dxa"/>
            <w:tcBorders>
              <w:top w:val="single" w:sz="4" w:space="0" w:color="auto"/>
              <w:left w:val="nil"/>
              <w:bottom w:val="single" w:sz="4" w:space="0" w:color="auto"/>
              <w:right w:val="nil"/>
            </w:tcBorders>
          </w:tcPr>
          <w:p w:rsidR="00E1306D" w:rsidRDefault="00E1306D" w:rsidP="00E1306D">
            <w:pPr>
              <w:jc w:val="right"/>
            </w:pPr>
            <w:r>
              <w:t>1,973.2</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1,525.4</w:t>
            </w:r>
          </w:p>
        </w:tc>
      </w:tr>
      <w:tr w:rsidR="00E1306D" w:rsidTr="00E1306D">
        <w:trPr>
          <w:gridBefore w:val="1"/>
          <w:gridAfter w:val="1"/>
          <w:wBefore w:w="1566" w:type="dxa"/>
          <w:wAfter w:w="5780" w:type="dxa"/>
        </w:trPr>
        <w:tc>
          <w:tcPr>
            <w:tcW w:w="3504" w:type="dxa"/>
            <w:tcBorders>
              <w:top w:val="single" w:sz="4" w:space="0" w:color="auto"/>
              <w:left w:val="nil"/>
              <w:bottom w:val="nil"/>
              <w:right w:val="nil"/>
            </w:tcBorders>
          </w:tcPr>
          <w:p w:rsidR="00E1306D" w:rsidRDefault="00E1306D" w:rsidP="00E1306D">
            <w:r>
              <w:t>Index linked gilts</w:t>
            </w:r>
          </w:p>
        </w:tc>
        <w:tc>
          <w:tcPr>
            <w:tcW w:w="2114" w:type="dxa"/>
            <w:gridSpan w:val="3"/>
            <w:tcBorders>
              <w:top w:val="single" w:sz="4" w:space="0" w:color="auto"/>
              <w:left w:val="nil"/>
              <w:bottom w:val="nil"/>
              <w:right w:val="nil"/>
            </w:tcBorders>
          </w:tcPr>
          <w:p w:rsidR="00E1306D" w:rsidRDefault="00E1306D" w:rsidP="00E1306D">
            <w:pPr>
              <w:jc w:val="right"/>
            </w:pPr>
            <w:r>
              <w:t>164.9</w:t>
            </w:r>
          </w:p>
        </w:tc>
        <w:tc>
          <w:tcPr>
            <w:tcW w:w="1586" w:type="dxa"/>
            <w:gridSpan w:val="2"/>
            <w:tcBorders>
              <w:top w:val="single" w:sz="4" w:space="0" w:color="auto"/>
              <w:left w:val="nil"/>
              <w:bottom w:val="nil"/>
              <w:right w:val="nil"/>
            </w:tcBorders>
          </w:tcPr>
          <w:p w:rsidR="00E1306D" w:rsidRPr="00E03AB4" w:rsidRDefault="00E1306D" w:rsidP="00E1306D">
            <w:pPr>
              <w:jc w:val="right"/>
            </w:pPr>
            <w:r w:rsidRPr="00E03AB4">
              <w:t>8.1%</w:t>
            </w:r>
          </w:p>
        </w:tc>
        <w:tc>
          <w:tcPr>
            <w:tcW w:w="1275" w:type="dxa"/>
            <w:tcBorders>
              <w:top w:val="single" w:sz="4" w:space="0" w:color="auto"/>
              <w:left w:val="nil"/>
              <w:bottom w:val="nil"/>
              <w:right w:val="nil"/>
            </w:tcBorders>
          </w:tcPr>
          <w:p w:rsidR="00E1306D" w:rsidRDefault="00E1306D" w:rsidP="00E1306D">
            <w:pPr>
              <w:jc w:val="right"/>
            </w:pPr>
            <w:r>
              <w:t>178.2</w:t>
            </w:r>
          </w:p>
        </w:tc>
        <w:tc>
          <w:tcPr>
            <w:tcW w:w="1467" w:type="dxa"/>
            <w:gridSpan w:val="2"/>
            <w:tcBorders>
              <w:top w:val="single" w:sz="4" w:space="0" w:color="auto"/>
              <w:left w:val="nil"/>
              <w:bottom w:val="nil"/>
              <w:right w:val="nil"/>
            </w:tcBorders>
          </w:tcPr>
          <w:p w:rsidR="00E1306D" w:rsidRDefault="00E1306D" w:rsidP="00E1306D">
            <w:pPr>
              <w:jc w:val="right"/>
            </w:pPr>
            <w:r>
              <w:t>151.6</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 xml:space="preserve">Alternatives </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1,601.2</w:t>
            </w:r>
          </w:p>
        </w:tc>
        <w:tc>
          <w:tcPr>
            <w:tcW w:w="1586" w:type="dxa"/>
            <w:gridSpan w:val="2"/>
            <w:tcBorders>
              <w:top w:val="single" w:sz="4" w:space="0" w:color="auto"/>
              <w:left w:val="nil"/>
              <w:bottom w:val="single" w:sz="4" w:space="0" w:color="auto"/>
              <w:right w:val="nil"/>
            </w:tcBorders>
          </w:tcPr>
          <w:p w:rsidR="00E1306D" w:rsidRPr="00E03AB4" w:rsidRDefault="00E1306D" w:rsidP="00E1306D">
            <w:pPr>
              <w:jc w:val="right"/>
            </w:pPr>
            <w:r w:rsidRPr="00E03AB4">
              <w:t>3.6%</w:t>
            </w:r>
          </w:p>
        </w:tc>
        <w:tc>
          <w:tcPr>
            <w:tcW w:w="1275" w:type="dxa"/>
            <w:tcBorders>
              <w:top w:val="single" w:sz="4" w:space="0" w:color="auto"/>
              <w:left w:val="nil"/>
              <w:bottom w:val="single" w:sz="4" w:space="0" w:color="auto"/>
              <w:right w:val="nil"/>
            </w:tcBorders>
          </w:tcPr>
          <w:p w:rsidR="00E1306D" w:rsidRDefault="00E1306D" w:rsidP="00E1306D">
            <w:pPr>
              <w:jc w:val="right"/>
            </w:pPr>
            <w:r>
              <w:t>1,658.9</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1,543.6</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Default="00E1306D" w:rsidP="00E1306D">
            <w:r>
              <w:t>Property</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434.9</w:t>
            </w:r>
          </w:p>
        </w:tc>
        <w:tc>
          <w:tcPr>
            <w:tcW w:w="1586" w:type="dxa"/>
            <w:gridSpan w:val="2"/>
            <w:tcBorders>
              <w:top w:val="single" w:sz="4" w:space="0" w:color="auto"/>
              <w:left w:val="nil"/>
              <w:bottom w:val="single" w:sz="4" w:space="0" w:color="auto"/>
              <w:right w:val="nil"/>
            </w:tcBorders>
          </w:tcPr>
          <w:p w:rsidR="00E1306D" w:rsidRPr="00E03AB4" w:rsidRDefault="00E1306D" w:rsidP="00E1306D">
            <w:pPr>
              <w:jc w:val="right"/>
            </w:pPr>
            <w:r w:rsidRPr="00E03AB4">
              <w:t>1.8%</w:t>
            </w:r>
          </w:p>
        </w:tc>
        <w:tc>
          <w:tcPr>
            <w:tcW w:w="1275" w:type="dxa"/>
            <w:tcBorders>
              <w:top w:val="single" w:sz="4" w:space="0" w:color="auto"/>
              <w:left w:val="nil"/>
              <w:bottom w:val="single" w:sz="4" w:space="0" w:color="auto"/>
              <w:right w:val="nil"/>
            </w:tcBorders>
          </w:tcPr>
          <w:p w:rsidR="00E1306D" w:rsidRDefault="00E1306D" w:rsidP="00E1306D">
            <w:pPr>
              <w:jc w:val="right"/>
            </w:pPr>
            <w:r>
              <w:t>442.7</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427.0</w:t>
            </w:r>
          </w:p>
        </w:tc>
      </w:tr>
      <w:tr w:rsidR="00E1306D" w:rsidTr="00E1306D">
        <w:trPr>
          <w:gridBefore w:val="1"/>
          <w:gridAfter w:val="1"/>
          <w:wBefore w:w="1566" w:type="dxa"/>
          <w:wAfter w:w="5780" w:type="dxa"/>
        </w:trPr>
        <w:tc>
          <w:tcPr>
            <w:tcW w:w="3504" w:type="dxa"/>
            <w:tcBorders>
              <w:top w:val="single" w:sz="4" w:space="0" w:color="auto"/>
              <w:left w:val="nil"/>
              <w:bottom w:val="single" w:sz="4" w:space="0" w:color="auto"/>
              <w:right w:val="nil"/>
            </w:tcBorders>
          </w:tcPr>
          <w:p w:rsidR="00E1306D" w:rsidRPr="007D6045" w:rsidRDefault="00E1306D" w:rsidP="00E1306D">
            <w:pPr>
              <w:rPr>
                <w:b/>
              </w:rPr>
            </w:pPr>
            <w:r>
              <w:rPr>
                <w:b/>
              </w:rPr>
              <w:t xml:space="preserve">Total asset available to pay benefits </w:t>
            </w:r>
          </w:p>
        </w:tc>
        <w:tc>
          <w:tcPr>
            <w:tcW w:w="2114" w:type="dxa"/>
            <w:gridSpan w:val="3"/>
            <w:tcBorders>
              <w:top w:val="single" w:sz="4" w:space="0" w:color="auto"/>
              <w:left w:val="nil"/>
              <w:bottom w:val="single" w:sz="4" w:space="0" w:color="auto"/>
              <w:right w:val="nil"/>
            </w:tcBorders>
          </w:tcPr>
          <w:p w:rsidR="00E1306D" w:rsidRDefault="00E1306D" w:rsidP="00E1306D">
            <w:pPr>
              <w:jc w:val="right"/>
            </w:pPr>
            <w:r>
              <w:t>4,989.0</w:t>
            </w:r>
          </w:p>
        </w:tc>
        <w:tc>
          <w:tcPr>
            <w:tcW w:w="1586" w:type="dxa"/>
            <w:gridSpan w:val="2"/>
            <w:tcBorders>
              <w:top w:val="single" w:sz="4" w:space="0" w:color="auto"/>
              <w:left w:val="nil"/>
              <w:bottom w:val="single" w:sz="4" w:space="0" w:color="auto"/>
              <w:right w:val="nil"/>
            </w:tcBorders>
          </w:tcPr>
          <w:p w:rsidR="00E1306D" w:rsidRDefault="00E1306D" w:rsidP="00E1306D"/>
        </w:tc>
        <w:tc>
          <w:tcPr>
            <w:tcW w:w="1275" w:type="dxa"/>
            <w:tcBorders>
              <w:top w:val="single" w:sz="4" w:space="0" w:color="auto"/>
              <w:left w:val="nil"/>
              <w:bottom w:val="single" w:sz="4" w:space="0" w:color="auto"/>
              <w:right w:val="nil"/>
            </w:tcBorders>
          </w:tcPr>
          <w:p w:rsidR="00E1306D" w:rsidRDefault="00E1306D" w:rsidP="00E1306D">
            <w:pPr>
              <w:jc w:val="right"/>
            </w:pPr>
            <w:r>
              <w:t>5,343.5</w:t>
            </w:r>
          </w:p>
        </w:tc>
        <w:tc>
          <w:tcPr>
            <w:tcW w:w="1467" w:type="dxa"/>
            <w:gridSpan w:val="2"/>
            <w:tcBorders>
              <w:top w:val="single" w:sz="4" w:space="0" w:color="auto"/>
              <w:left w:val="nil"/>
              <w:bottom w:val="single" w:sz="4" w:space="0" w:color="auto"/>
              <w:right w:val="nil"/>
            </w:tcBorders>
          </w:tcPr>
          <w:p w:rsidR="00E1306D" w:rsidRDefault="00E1306D" w:rsidP="00E1306D">
            <w:pPr>
              <w:jc w:val="right"/>
            </w:pPr>
            <w:r>
              <w:t>4,634.4</w:t>
            </w:r>
          </w:p>
        </w:tc>
      </w:tr>
      <w:tr w:rsidR="00E1306D" w:rsidTr="00E130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94" w:type="dxa"/>
            <w:gridSpan w:val="4"/>
          </w:tcPr>
          <w:p w:rsidR="00E1306D" w:rsidRDefault="00E1306D" w:rsidP="006E1A40">
            <w:pPr>
              <w:jc w:val="right"/>
            </w:pPr>
          </w:p>
          <w:p w:rsidR="00E1306D" w:rsidRDefault="00E1306D" w:rsidP="006E1A40">
            <w:pPr>
              <w:jc w:val="right"/>
            </w:pPr>
          </w:p>
        </w:tc>
        <w:tc>
          <w:tcPr>
            <w:tcW w:w="5818" w:type="dxa"/>
            <w:gridSpan w:val="6"/>
          </w:tcPr>
          <w:p w:rsidR="00E1306D" w:rsidRDefault="00E1306D" w:rsidP="006E1A40">
            <w:pPr>
              <w:jc w:val="right"/>
            </w:pPr>
          </w:p>
        </w:tc>
        <w:tc>
          <w:tcPr>
            <w:tcW w:w="5780" w:type="dxa"/>
          </w:tcPr>
          <w:p w:rsidR="00E1306D" w:rsidRDefault="00E1306D" w:rsidP="006E1A40">
            <w:pPr>
              <w:jc w:val="right"/>
            </w:pP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Asset Type</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Value as at 31</w:t>
            </w:r>
          </w:p>
          <w:p w:rsidR="00E1306D" w:rsidRDefault="00E1306D" w:rsidP="00E1306D">
            <w:pPr>
              <w:jc w:val="right"/>
            </w:pPr>
            <w:r>
              <w:t>March 2012</w:t>
            </w:r>
          </w:p>
        </w:tc>
        <w:tc>
          <w:tcPr>
            <w:tcW w:w="1444" w:type="dxa"/>
            <w:tcBorders>
              <w:top w:val="single" w:sz="4" w:space="0" w:color="auto"/>
              <w:left w:val="nil"/>
              <w:bottom w:val="single" w:sz="4" w:space="0" w:color="auto"/>
              <w:right w:val="nil"/>
            </w:tcBorders>
          </w:tcPr>
          <w:p w:rsidR="00E1306D" w:rsidRDefault="00E1306D" w:rsidP="00E1306D">
            <w:pPr>
              <w:jc w:val="right"/>
            </w:pPr>
            <w:r>
              <w:t xml:space="preserve">Percentage Change </w:t>
            </w:r>
          </w:p>
        </w:tc>
        <w:tc>
          <w:tcPr>
            <w:tcW w:w="1275" w:type="dxa"/>
            <w:tcBorders>
              <w:top w:val="single" w:sz="4" w:space="0" w:color="auto"/>
              <w:left w:val="nil"/>
              <w:bottom w:val="single" w:sz="4" w:space="0" w:color="auto"/>
              <w:right w:val="nil"/>
            </w:tcBorders>
          </w:tcPr>
          <w:p w:rsidR="00E1306D" w:rsidRDefault="00E1306D" w:rsidP="00E1306D">
            <w:pPr>
              <w:jc w:val="right"/>
            </w:pPr>
            <w:r>
              <w:t xml:space="preserve">Value on Increase </w:t>
            </w:r>
          </w:p>
        </w:tc>
        <w:tc>
          <w:tcPr>
            <w:tcW w:w="1404" w:type="dxa"/>
            <w:tcBorders>
              <w:top w:val="single" w:sz="4" w:space="0" w:color="auto"/>
              <w:left w:val="nil"/>
              <w:bottom w:val="single" w:sz="4" w:space="0" w:color="auto"/>
              <w:right w:val="nil"/>
            </w:tcBorders>
          </w:tcPr>
          <w:p w:rsidR="00E1306D" w:rsidRDefault="00E1306D" w:rsidP="00E1306D">
            <w:pPr>
              <w:jc w:val="right"/>
            </w:pPr>
            <w:r>
              <w:t xml:space="preserve">Value on </w:t>
            </w:r>
          </w:p>
          <w:p w:rsidR="00E1306D" w:rsidRDefault="00E1306D" w:rsidP="00E1306D">
            <w:pPr>
              <w:jc w:val="right"/>
            </w:pPr>
            <w:r>
              <w:t xml:space="preserve">Decrease </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pPr>
              <w:rPr>
                <w:b/>
              </w:rPr>
            </w:pP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£m</w:t>
            </w:r>
          </w:p>
        </w:tc>
        <w:tc>
          <w:tcPr>
            <w:tcW w:w="1444" w:type="dxa"/>
            <w:tcBorders>
              <w:top w:val="single" w:sz="4" w:space="0" w:color="auto"/>
              <w:left w:val="nil"/>
              <w:bottom w:val="single" w:sz="4" w:space="0" w:color="auto"/>
              <w:right w:val="nil"/>
            </w:tcBorders>
          </w:tcPr>
          <w:p w:rsidR="00E1306D" w:rsidRDefault="00E1306D" w:rsidP="00E1306D">
            <w:pPr>
              <w:jc w:val="right"/>
            </w:pPr>
            <w:r>
              <w:t>%</w:t>
            </w:r>
          </w:p>
        </w:tc>
        <w:tc>
          <w:tcPr>
            <w:tcW w:w="1275" w:type="dxa"/>
            <w:tcBorders>
              <w:top w:val="single" w:sz="4" w:space="0" w:color="auto"/>
              <w:left w:val="nil"/>
              <w:bottom w:val="single" w:sz="4" w:space="0" w:color="auto"/>
              <w:right w:val="nil"/>
            </w:tcBorders>
          </w:tcPr>
          <w:p w:rsidR="00E1306D" w:rsidRDefault="00E1306D" w:rsidP="00E1306D">
            <w:pPr>
              <w:jc w:val="right"/>
            </w:pPr>
            <w:r>
              <w:t>£m</w:t>
            </w:r>
          </w:p>
        </w:tc>
        <w:tc>
          <w:tcPr>
            <w:tcW w:w="1404" w:type="dxa"/>
            <w:tcBorders>
              <w:top w:val="single" w:sz="4" w:space="0" w:color="auto"/>
              <w:left w:val="nil"/>
              <w:bottom w:val="single" w:sz="4" w:space="0" w:color="auto"/>
              <w:right w:val="nil"/>
            </w:tcBorders>
          </w:tcPr>
          <w:p w:rsidR="00E1306D" w:rsidRDefault="00E1306D" w:rsidP="00E1306D">
            <w:pPr>
              <w:jc w:val="right"/>
            </w:pPr>
            <w:r>
              <w:t xml:space="preserve">£m </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Pr="00500A44" w:rsidRDefault="00E1306D" w:rsidP="00E1306D">
            <w:pPr>
              <w:rPr>
                <w:b/>
              </w:rPr>
            </w:pPr>
            <w:r>
              <w:rPr>
                <w:b/>
              </w:rPr>
              <w:t xml:space="preserve">Cash and Cash equivalents </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147.9</w:t>
            </w:r>
          </w:p>
        </w:tc>
        <w:tc>
          <w:tcPr>
            <w:tcW w:w="1444" w:type="dxa"/>
            <w:tcBorders>
              <w:top w:val="single" w:sz="4" w:space="0" w:color="auto"/>
              <w:left w:val="nil"/>
              <w:bottom w:val="single" w:sz="4" w:space="0" w:color="auto"/>
              <w:right w:val="nil"/>
            </w:tcBorders>
          </w:tcPr>
          <w:p w:rsidR="00E1306D" w:rsidRDefault="00E1306D" w:rsidP="00E1306D">
            <w:pPr>
              <w:jc w:val="right"/>
            </w:pPr>
            <w:r>
              <w:t>0.0</w:t>
            </w:r>
          </w:p>
        </w:tc>
        <w:tc>
          <w:tcPr>
            <w:tcW w:w="1275" w:type="dxa"/>
            <w:tcBorders>
              <w:top w:val="single" w:sz="4" w:space="0" w:color="auto"/>
              <w:left w:val="nil"/>
              <w:bottom w:val="single" w:sz="4" w:space="0" w:color="auto"/>
              <w:right w:val="nil"/>
            </w:tcBorders>
          </w:tcPr>
          <w:p w:rsidR="00E1306D" w:rsidRDefault="00E1306D" w:rsidP="00E1306D">
            <w:pPr>
              <w:jc w:val="right"/>
            </w:pPr>
            <w:r>
              <w:t>147.9</w:t>
            </w:r>
          </w:p>
        </w:tc>
        <w:tc>
          <w:tcPr>
            <w:tcW w:w="1404" w:type="dxa"/>
            <w:tcBorders>
              <w:top w:val="single" w:sz="4" w:space="0" w:color="auto"/>
              <w:left w:val="nil"/>
              <w:bottom w:val="single" w:sz="4" w:space="0" w:color="auto"/>
              <w:right w:val="nil"/>
            </w:tcBorders>
          </w:tcPr>
          <w:p w:rsidR="00E1306D" w:rsidRDefault="00E1306D" w:rsidP="00E1306D">
            <w:pPr>
              <w:jc w:val="right"/>
            </w:pPr>
            <w:r>
              <w:t>147.9</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Pr="007D6045" w:rsidRDefault="00E1306D" w:rsidP="00E1306D">
            <w:pPr>
              <w:rPr>
                <w:b/>
              </w:rPr>
            </w:pPr>
            <w:r w:rsidRPr="007D6045">
              <w:rPr>
                <w:b/>
              </w:rPr>
              <w:t>Investment portfolio assets:</w:t>
            </w:r>
          </w:p>
        </w:tc>
        <w:tc>
          <w:tcPr>
            <w:tcW w:w="2124" w:type="dxa"/>
            <w:gridSpan w:val="3"/>
            <w:tcBorders>
              <w:top w:val="single" w:sz="4" w:space="0" w:color="auto"/>
              <w:left w:val="nil"/>
              <w:bottom w:val="single" w:sz="4" w:space="0" w:color="auto"/>
              <w:right w:val="nil"/>
            </w:tcBorders>
          </w:tcPr>
          <w:p w:rsidR="00E1306D" w:rsidRDefault="00E1306D" w:rsidP="00E1306D"/>
        </w:tc>
        <w:tc>
          <w:tcPr>
            <w:tcW w:w="1444" w:type="dxa"/>
            <w:tcBorders>
              <w:top w:val="single" w:sz="4" w:space="0" w:color="auto"/>
              <w:left w:val="nil"/>
              <w:bottom w:val="single" w:sz="4" w:space="0" w:color="auto"/>
              <w:right w:val="nil"/>
            </w:tcBorders>
          </w:tcPr>
          <w:p w:rsidR="00E1306D" w:rsidRDefault="00E1306D" w:rsidP="00E1306D"/>
        </w:tc>
        <w:tc>
          <w:tcPr>
            <w:tcW w:w="1275" w:type="dxa"/>
            <w:tcBorders>
              <w:top w:val="single" w:sz="4" w:space="0" w:color="auto"/>
              <w:left w:val="nil"/>
              <w:bottom w:val="single" w:sz="4" w:space="0" w:color="auto"/>
              <w:right w:val="nil"/>
            </w:tcBorders>
          </w:tcPr>
          <w:p w:rsidR="00E1306D" w:rsidRDefault="00E1306D" w:rsidP="00E1306D"/>
        </w:tc>
        <w:tc>
          <w:tcPr>
            <w:tcW w:w="1404" w:type="dxa"/>
            <w:tcBorders>
              <w:top w:val="single" w:sz="4" w:space="0" w:color="auto"/>
              <w:left w:val="nil"/>
              <w:bottom w:val="single" w:sz="4" w:space="0" w:color="auto"/>
              <w:right w:val="nil"/>
            </w:tcBorders>
          </w:tcPr>
          <w:p w:rsidR="00E1306D" w:rsidRDefault="00E1306D" w:rsidP="00E1306D"/>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 xml:space="preserve">UK bonds </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695.7</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5.7%</w:t>
            </w:r>
          </w:p>
        </w:tc>
        <w:tc>
          <w:tcPr>
            <w:tcW w:w="1275" w:type="dxa"/>
            <w:tcBorders>
              <w:top w:val="single" w:sz="4" w:space="0" w:color="auto"/>
              <w:left w:val="nil"/>
              <w:bottom w:val="single" w:sz="4" w:space="0" w:color="auto"/>
              <w:right w:val="nil"/>
            </w:tcBorders>
          </w:tcPr>
          <w:p w:rsidR="00E1306D" w:rsidRDefault="00E1306D" w:rsidP="00E1306D">
            <w:pPr>
              <w:jc w:val="right"/>
            </w:pPr>
            <w:r>
              <w:t>735.3</w:t>
            </w:r>
          </w:p>
        </w:tc>
        <w:tc>
          <w:tcPr>
            <w:tcW w:w="1404" w:type="dxa"/>
            <w:tcBorders>
              <w:top w:val="single" w:sz="4" w:space="0" w:color="auto"/>
              <w:left w:val="nil"/>
              <w:bottom w:val="single" w:sz="4" w:space="0" w:color="auto"/>
              <w:right w:val="nil"/>
            </w:tcBorders>
          </w:tcPr>
          <w:p w:rsidR="00E1306D" w:rsidRDefault="00E1306D" w:rsidP="00E1306D">
            <w:pPr>
              <w:jc w:val="right"/>
            </w:pPr>
            <w:r>
              <w:t>656.1</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Overseas bonds</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100.0</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11.8%</w:t>
            </w:r>
          </w:p>
        </w:tc>
        <w:tc>
          <w:tcPr>
            <w:tcW w:w="1275" w:type="dxa"/>
            <w:tcBorders>
              <w:top w:val="single" w:sz="4" w:space="0" w:color="auto"/>
              <w:left w:val="nil"/>
              <w:bottom w:val="single" w:sz="4" w:space="0" w:color="auto"/>
              <w:right w:val="nil"/>
            </w:tcBorders>
          </w:tcPr>
          <w:p w:rsidR="00E1306D" w:rsidRDefault="00E1306D" w:rsidP="00E1306D">
            <w:pPr>
              <w:jc w:val="right"/>
            </w:pPr>
            <w:r>
              <w:t>111.8</w:t>
            </w:r>
          </w:p>
        </w:tc>
        <w:tc>
          <w:tcPr>
            <w:tcW w:w="1404" w:type="dxa"/>
            <w:tcBorders>
              <w:top w:val="single" w:sz="4" w:space="0" w:color="auto"/>
              <w:left w:val="nil"/>
              <w:bottom w:val="single" w:sz="4" w:space="0" w:color="auto"/>
              <w:right w:val="nil"/>
            </w:tcBorders>
          </w:tcPr>
          <w:p w:rsidR="00E1306D" w:rsidRDefault="00E1306D" w:rsidP="00E1306D">
            <w:pPr>
              <w:jc w:val="right"/>
            </w:pPr>
            <w:r>
              <w:t>88.2</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 xml:space="preserve">UK equities </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1,341.4</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15.3%</w:t>
            </w:r>
          </w:p>
        </w:tc>
        <w:tc>
          <w:tcPr>
            <w:tcW w:w="1275" w:type="dxa"/>
            <w:tcBorders>
              <w:top w:val="single" w:sz="4" w:space="0" w:color="auto"/>
              <w:left w:val="nil"/>
              <w:bottom w:val="single" w:sz="4" w:space="0" w:color="auto"/>
              <w:right w:val="nil"/>
            </w:tcBorders>
          </w:tcPr>
          <w:p w:rsidR="00E1306D" w:rsidRDefault="00E1306D" w:rsidP="00E1306D">
            <w:pPr>
              <w:jc w:val="right"/>
            </w:pPr>
            <w:r>
              <w:t>1,547.3</w:t>
            </w:r>
          </w:p>
        </w:tc>
        <w:tc>
          <w:tcPr>
            <w:tcW w:w="1404" w:type="dxa"/>
            <w:tcBorders>
              <w:top w:val="single" w:sz="4" w:space="0" w:color="auto"/>
              <w:left w:val="nil"/>
              <w:bottom w:val="single" w:sz="4" w:space="0" w:color="auto"/>
              <w:right w:val="nil"/>
            </w:tcBorders>
          </w:tcPr>
          <w:p w:rsidR="00E1306D" w:rsidRDefault="00E1306D" w:rsidP="00E1306D">
            <w:pPr>
              <w:jc w:val="right"/>
            </w:pPr>
            <w:r>
              <w:t>1,135.6</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Overseas equities</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1,236.9</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14.8%</w:t>
            </w:r>
          </w:p>
        </w:tc>
        <w:tc>
          <w:tcPr>
            <w:tcW w:w="1275" w:type="dxa"/>
            <w:tcBorders>
              <w:top w:val="single" w:sz="4" w:space="0" w:color="auto"/>
              <w:left w:val="nil"/>
              <w:bottom w:val="single" w:sz="4" w:space="0" w:color="auto"/>
              <w:right w:val="nil"/>
            </w:tcBorders>
          </w:tcPr>
          <w:p w:rsidR="00E1306D" w:rsidRDefault="00E1306D" w:rsidP="00E1306D">
            <w:pPr>
              <w:jc w:val="right"/>
            </w:pPr>
            <w:r>
              <w:t>1,420.3</w:t>
            </w:r>
          </w:p>
        </w:tc>
        <w:tc>
          <w:tcPr>
            <w:tcW w:w="1404" w:type="dxa"/>
            <w:tcBorders>
              <w:top w:val="single" w:sz="4" w:space="0" w:color="auto"/>
              <w:left w:val="nil"/>
              <w:bottom w:val="single" w:sz="4" w:space="0" w:color="auto"/>
              <w:right w:val="nil"/>
            </w:tcBorders>
          </w:tcPr>
          <w:p w:rsidR="00E1306D" w:rsidRDefault="00E1306D" w:rsidP="00E1306D">
            <w:pPr>
              <w:jc w:val="right"/>
            </w:pPr>
            <w:r>
              <w:t>1,053.5</w:t>
            </w:r>
          </w:p>
        </w:tc>
      </w:tr>
      <w:tr w:rsidR="00E1306D" w:rsidTr="00E1306D">
        <w:trPr>
          <w:gridBefore w:val="1"/>
          <w:gridAfter w:val="2"/>
          <w:wBefore w:w="1566" w:type="dxa"/>
          <w:wAfter w:w="5843" w:type="dxa"/>
        </w:trPr>
        <w:tc>
          <w:tcPr>
            <w:tcW w:w="3636" w:type="dxa"/>
            <w:gridSpan w:val="2"/>
            <w:tcBorders>
              <w:top w:val="single" w:sz="4" w:space="0" w:color="auto"/>
              <w:left w:val="nil"/>
              <w:bottom w:val="nil"/>
              <w:right w:val="nil"/>
            </w:tcBorders>
          </w:tcPr>
          <w:p w:rsidR="00E1306D" w:rsidRDefault="00E1306D" w:rsidP="00E1306D">
            <w:r>
              <w:t>Index linked gilts</w:t>
            </w:r>
          </w:p>
        </w:tc>
        <w:tc>
          <w:tcPr>
            <w:tcW w:w="2124" w:type="dxa"/>
            <w:gridSpan w:val="3"/>
            <w:tcBorders>
              <w:top w:val="single" w:sz="4" w:space="0" w:color="auto"/>
              <w:left w:val="nil"/>
              <w:bottom w:val="nil"/>
              <w:right w:val="nil"/>
            </w:tcBorders>
          </w:tcPr>
          <w:p w:rsidR="00E1306D" w:rsidRDefault="00E1306D" w:rsidP="00E1306D">
            <w:pPr>
              <w:jc w:val="right"/>
            </w:pPr>
            <w:r>
              <w:t>166.9</w:t>
            </w:r>
          </w:p>
        </w:tc>
        <w:tc>
          <w:tcPr>
            <w:tcW w:w="1444" w:type="dxa"/>
            <w:tcBorders>
              <w:top w:val="single" w:sz="4" w:space="0" w:color="auto"/>
              <w:left w:val="nil"/>
              <w:bottom w:val="nil"/>
              <w:right w:val="nil"/>
            </w:tcBorders>
          </w:tcPr>
          <w:p w:rsidR="00E1306D" w:rsidRPr="000F1B8B" w:rsidRDefault="00E1306D" w:rsidP="00E1306D">
            <w:pPr>
              <w:jc w:val="right"/>
            </w:pPr>
            <w:r w:rsidRPr="000F1B8B">
              <w:t>7.6%</w:t>
            </w:r>
          </w:p>
        </w:tc>
        <w:tc>
          <w:tcPr>
            <w:tcW w:w="1275" w:type="dxa"/>
            <w:tcBorders>
              <w:top w:val="single" w:sz="4" w:space="0" w:color="auto"/>
              <w:left w:val="nil"/>
              <w:bottom w:val="nil"/>
              <w:right w:val="nil"/>
            </w:tcBorders>
          </w:tcPr>
          <w:p w:rsidR="00E1306D" w:rsidRDefault="00E1306D" w:rsidP="00E1306D">
            <w:pPr>
              <w:jc w:val="right"/>
            </w:pPr>
            <w:r>
              <w:t>179.6</w:t>
            </w:r>
          </w:p>
        </w:tc>
        <w:tc>
          <w:tcPr>
            <w:tcW w:w="1404" w:type="dxa"/>
            <w:tcBorders>
              <w:top w:val="single" w:sz="4" w:space="0" w:color="auto"/>
              <w:left w:val="nil"/>
              <w:bottom w:val="nil"/>
              <w:right w:val="nil"/>
            </w:tcBorders>
          </w:tcPr>
          <w:p w:rsidR="00E1306D" w:rsidRDefault="00E1306D" w:rsidP="00E1306D">
            <w:pPr>
              <w:jc w:val="right"/>
            </w:pPr>
            <w:r>
              <w:t>154.2</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 xml:space="preserve">Alternatives </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287.4</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7.7%</w:t>
            </w:r>
          </w:p>
        </w:tc>
        <w:tc>
          <w:tcPr>
            <w:tcW w:w="1275" w:type="dxa"/>
            <w:tcBorders>
              <w:top w:val="single" w:sz="4" w:space="0" w:color="auto"/>
              <w:left w:val="nil"/>
              <w:bottom w:val="single" w:sz="4" w:space="0" w:color="auto"/>
              <w:right w:val="nil"/>
            </w:tcBorders>
          </w:tcPr>
          <w:p w:rsidR="00E1306D" w:rsidRDefault="00E1306D" w:rsidP="00E1306D">
            <w:pPr>
              <w:jc w:val="right"/>
            </w:pPr>
            <w:r>
              <w:t>309.6</w:t>
            </w:r>
          </w:p>
        </w:tc>
        <w:tc>
          <w:tcPr>
            <w:tcW w:w="1404" w:type="dxa"/>
            <w:tcBorders>
              <w:top w:val="single" w:sz="4" w:space="0" w:color="auto"/>
              <w:left w:val="nil"/>
              <w:bottom w:val="single" w:sz="4" w:space="0" w:color="auto"/>
              <w:right w:val="nil"/>
            </w:tcBorders>
          </w:tcPr>
          <w:p w:rsidR="00E1306D" w:rsidRDefault="00E1306D" w:rsidP="00E1306D">
            <w:pPr>
              <w:jc w:val="right"/>
            </w:pPr>
            <w:r>
              <w:t>265.2</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Default="00E1306D" w:rsidP="00E1306D">
            <w:r>
              <w:t>Property</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383.8</w:t>
            </w:r>
          </w:p>
        </w:tc>
        <w:tc>
          <w:tcPr>
            <w:tcW w:w="1444" w:type="dxa"/>
            <w:tcBorders>
              <w:top w:val="single" w:sz="4" w:space="0" w:color="auto"/>
              <w:left w:val="nil"/>
              <w:bottom w:val="single" w:sz="4" w:space="0" w:color="auto"/>
              <w:right w:val="nil"/>
            </w:tcBorders>
          </w:tcPr>
          <w:p w:rsidR="00E1306D" w:rsidRPr="000F1B8B" w:rsidRDefault="00E1306D" w:rsidP="00E1306D">
            <w:pPr>
              <w:jc w:val="right"/>
            </w:pPr>
            <w:r w:rsidRPr="000F1B8B">
              <w:t>9.4%</w:t>
            </w:r>
          </w:p>
        </w:tc>
        <w:tc>
          <w:tcPr>
            <w:tcW w:w="1275" w:type="dxa"/>
            <w:tcBorders>
              <w:top w:val="single" w:sz="4" w:space="0" w:color="auto"/>
              <w:left w:val="nil"/>
              <w:bottom w:val="single" w:sz="4" w:space="0" w:color="auto"/>
              <w:right w:val="nil"/>
            </w:tcBorders>
          </w:tcPr>
          <w:p w:rsidR="00E1306D" w:rsidRDefault="00E1306D" w:rsidP="00E1306D">
            <w:pPr>
              <w:jc w:val="right"/>
            </w:pPr>
            <w:r>
              <w:t>419.7</w:t>
            </w:r>
          </w:p>
        </w:tc>
        <w:tc>
          <w:tcPr>
            <w:tcW w:w="1404" w:type="dxa"/>
            <w:tcBorders>
              <w:top w:val="single" w:sz="4" w:space="0" w:color="auto"/>
              <w:left w:val="nil"/>
              <w:bottom w:val="single" w:sz="4" w:space="0" w:color="auto"/>
              <w:right w:val="nil"/>
            </w:tcBorders>
          </w:tcPr>
          <w:p w:rsidR="00E1306D" w:rsidRDefault="00E1306D" w:rsidP="00E1306D">
            <w:pPr>
              <w:jc w:val="right"/>
            </w:pPr>
            <w:r>
              <w:t>347.9</w:t>
            </w:r>
          </w:p>
        </w:tc>
      </w:tr>
      <w:tr w:rsidR="00E1306D" w:rsidTr="00E1306D">
        <w:trPr>
          <w:gridBefore w:val="1"/>
          <w:gridAfter w:val="2"/>
          <w:wBefore w:w="1566" w:type="dxa"/>
          <w:wAfter w:w="5843" w:type="dxa"/>
        </w:trPr>
        <w:tc>
          <w:tcPr>
            <w:tcW w:w="3636" w:type="dxa"/>
            <w:gridSpan w:val="2"/>
            <w:tcBorders>
              <w:top w:val="single" w:sz="4" w:space="0" w:color="auto"/>
              <w:left w:val="nil"/>
              <w:bottom w:val="single" w:sz="4" w:space="0" w:color="auto"/>
              <w:right w:val="nil"/>
            </w:tcBorders>
          </w:tcPr>
          <w:p w:rsidR="00E1306D" w:rsidRPr="007D6045" w:rsidRDefault="00E1306D" w:rsidP="00E1306D">
            <w:pPr>
              <w:rPr>
                <w:b/>
              </w:rPr>
            </w:pPr>
            <w:r>
              <w:rPr>
                <w:b/>
              </w:rPr>
              <w:t xml:space="preserve">Total asset available to pay benefits </w:t>
            </w:r>
          </w:p>
        </w:tc>
        <w:tc>
          <w:tcPr>
            <w:tcW w:w="2124" w:type="dxa"/>
            <w:gridSpan w:val="3"/>
            <w:tcBorders>
              <w:top w:val="single" w:sz="4" w:space="0" w:color="auto"/>
              <w:left w:val="nil"/>
              <w:bottom w:val="single" w:sz="4" w:space="0" w:color="auto"/>
              <w:right w:val="nil"/>
            </w:tcBorders>
          </w:tcPr>
          <w:p w:rsidR="00E1306D" w:rsidRDefault="00E1306D" w:rsidP="00E1306D">
            <w:pPr>
              <w:jc w:val="right"/>
            </w:pPr>
            <w:r>
              <w:t>4,359.9</w:t>
            </w:r>
          </w:p>
        </w:tc>
        <w:tc>
          <w:tcPr>
            <w:tcW w:w="1444" w:type="dxa"/>
            <w:tcBorders>
              <w:top w:val="single" w:sz="4" w:space="0" w:color="auto"/>
              <w:left w:val="nil"/>
              <w:bottom w:val="single" w:sz="4" w:space="0" w:color="auto"/>
              <w:right w:val="nil"/>
            </w:tcBorders>
          </w:tcPr>
          <w:p w:rsidR="00E1306D" w:rsidRDefault="00E1306D" w:rsidP="00E1306D">
            <w:pPr>
              <w:jc w:val="right"/>
            </w:pPr>
          </w:p>
        </w:tc>
        <w:tc>
          <w:tcPr>
            <w:tcW w:w="1275" w:type="dxa"/>
            <w:tcBorders>
              <w:top w:val="single" w:sz="4" w:space="0" w:color="auto"/>
              <w:left w:val="nil"/>
              <w:bottom w:val="single" w:sz="4" w:space="0" w:color="auto"/>
              <w:right w:val="nil"/>
            </w:tcBorders>
          </w:tcPr>
          <w:p w:rsidR="00E1306D" w:rsidRDefault="00E1306D" w:rsidP="00E1306D">
            <w:pPr>
              <w:jc w:val="right"/>
            </w:pPr>
            <w:r>
              <w:t>4,871.5</w:t>
            </w:r>
          </w:p>
        </w:tc>
        <w:tc>
          <w:tcPr>
            <w:tcW w:w="1404" w:type="dxa"/>
            <w:tcBorders>
              <w:top w:val="single" w:sz="4" w:space="0" w:color="auto"/>
              <w:left w:val="nil"/>
              <w:bottom w:val="single" w:sz="4" w:space="0" w:color="auto"/>
              <w:right w:val="nil"/>
            </w:tcBorders>
          </w:tcPr>
          <w:p w:rsidR="00E1306D" w:rsidRDefault="00E1306D" w:rsidP="00E1306D">
            <w:pPr>
              <w:jc w:val="right"/>
            </w:pPr>
            <w:r>
              <w:t>3,848.5</w:t>
            </w:r>
          </w:p>
        </w:tc>
      </w:tr>
    </w:tbl>
    <w:p w:rsidR="006E1A40" w:rsidRDefault="006E1A40" w:rsidP="006E1A40">
      <w:pPr>
        <w:ind w:firstLine="709"/>
        <w:rPr>
          <w:b/>
        </w:rPr>
      </w:pPr>
      <w:r w:rsidRPr="007D6045">
        <w:rPr>
          <w:b/>
        </w:rPr>
        <w:t xml:space="preserve">Interest Rate Risk </w:t>
      </w:r>
    </w:p>
    <w:p w:rsidR="006E1A40" w:rsidRDefault="006E1A40" w:rsidP="006E1A40">
      <w:pPr>
        <w:ind w:left="720"/>
        <w:rPr>
          <w:b/>
        </w:rPr>
      </w:pPr>
    </w:p>
    <w:p w:rsidR="006E1A40" w:rsidRDefault="006E1A40" w:rsidP="006E1A40">
      <w:pPr>
        <w:ind w:left="720"/>
      </w:pPr>
      <w: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6E1A40" w:rsidRDefault="006E1A40" w:rsidP="006E1A40">
      <w:pPr>
        <w:ind w:left="720"/>
      </w:pPr>
    </w:p>
    <w:p w:rsidR="006E1A40" w:rsidRDefault="006E1A40" w:rsidP="006E1A40">
      <w:pPr>
        <w:ind w:left="720"/>
      </w:pPr>
      <w:r>
        <w:t xml:space="preserve">The Fund's interest rate risk is routinely monitored by the Investment Panel and its investment advisors.  The Fund's direct exposure to interest rate movements as at 31 March 2013 and 31 March 2012 is set out below.  These disclosures present interest rate risk based on the underlying financial assets at fair value.       </w:t>
      </w:r>
    </w:p>
    <w:p w:rsidR="006E1A40" w:rsidRPr="007D6045" w:rsidRDefault="006E1A40" w:rsidP="006E1A40">
      <w:pPr>
        <w:ind w:left="720"/>
      </w:pPr>
    </w:p>
    <w:p w:rsidR="006E1A40" w:rsidRDefault="006E1A40" w:rsidP="006E1A40">
      <w:pPr>
        <w:ind w:left="720"/>
      </w:pPr>
      <w:r>
        <w:t xml:space="preserve">  </w:t>
      </w:r>
    </w:p>
    <w:tbl>
      <w:tblPr>
        <w:tblStyle w:val="TableGrid"/>
        <w:tblW w:w="0" w:type="auto"/>
        <w:tblInd w:w="720" w:type="dxa"/>
        <w:tblBorders>
          <w:left w:val="none" w:sz="0" w:space="0" w:color="auto"/>
          <w:right w:val="none" w:sz="0" w:space="0" w:color="auto"/>
          <w:insideV w:val="none" w:sz="0" w:space="0" w:color="auto"/>
        </w:tblBorders>
        <w:tblLayout w:type="fixed"/>
        <w:tblLook w:val="04A0"/>
      </w:tblPr>
      <w:tblGrid>
        <w:gridCol w:w="3783"/>
        <w:gridCol w:w="2693"/>
        <w:gridCol w:w="567"/>
        <w:gridCol w:w="2551"/>
      </w:tblGrid>
      <w:tr w:rsidR="006E1A40" w:rsidTr="00C343B4">
        <w:trPr>
          <w:trHeight w:val="393"/>
        </w:trPr>
        <w:tc>
          <w:tcPr>
            <w:tcW w:w="3783" w:type="dxa"/>
          </w:tcPr>
          <w:p w:rsidR="006E1A40" w:rsidRPr="006E1A40" w:rsidRDefault="00670114" w:rsidP="006E1A40">
            <w:pPr>
              <w:rPr>
                <w:b/>
                <w:sz w:val="22"/>
                <w:szCs w:val="22"/>
              </w:rPr>
            </w:pPr>
            <w:r w:rsidRPr="00670114">
              <w:rPr>
                <w:b/>
                <w:sz w:val="22"/>
                <w:szCs w:val="22"/>
              </w:rPr>
              <w:t xml:space="preserve">Asset Type </w:t>
            </w:r>
          </w:p>
        </w:tc>
        <w:tc>
          <w:tcPr>
            <w:tcW w:w="3260" w:type="dxa"/>
            <w:gridSpan w:val="2"/>
          </w:tcPr>
          <w:p w:rsidR="006E1A40" w:rsidRPr="006E1A40" w:rsidRDefault="00670114" w:rsidP="006E1A40">
            <w:pPr>
              <w:jc w:val="center"/>
              <w:rPr>
                <w:b/>
                <w:sz w:val="22"/>
                <w:szCs w:val="22"/>
              </w:rPr>
            </w:pPr>
            <w:r w:rsidRPr="00670114">
              <w:rPr>
                <w:b/>
                <w:sz w:val="22"/>
                <w:szCs w:val="22"/>
              </w:rPr>
              <w:t>As at 31 March 2013</w:t>
            </w:r>
          </w:p>
        </w:tc>
        <w:tc>
          <w:tcPr>
            <w:tcW w:w="2551" w:type="dxa"/>
          </w:tcPr>
          <w:p w:rsidR="006E1A40" w:rsidRPr="006E1A40" w:rsidRDefault="00670114" w:rsidP="006E1A40">
            <w:pPr>
              <w:ind w:right="-166"/>
              <w:jc w:val="center"/>
              <w:rPr>
                <w:b/>
                <w:sz w:val="22"/>
                <w:szCs w:val="22"/>
              </w:rPr>
            </w:pPr>
            <w:r w:rsidRPr="00670114">
              <w:rPr>
                <w:b/>
                <w:sz w:val="22"/>
                <w:szCs w:val="22"/>
              </w:rPr>
              <w:t>As at 31 March 2012</w:t>
            </w:r>
          </w:p>
        </w:tc>
      </w:tr>
      <w:tr w:rsidR="00E1306D" w:rsidTr="00E1306D">
        <w:tc>
          <w:tcPr>
            <w:tcW w:w="3783" w:type="dxa"/>
          </w:tcPr>
          <w:p w:rsidR="006E1A40" w:rsidRPr="006E1A40" w:rsidRDefault="006E1A40" w:rsidP="006E1A40">
            <w:pPr>
              <w:rPr>
                <w:b/>
                <w:sz w:val="22"/>
                <w:szCs w:val="22"/>
              </w:rPr>
            </w:pPr>
          </w:p>
        </w:tc>
        <w:tc>
          <w:tcPr>
            <w:tcW w:w="2693" w:type="dxa"/>
          </w:tcPr>
          <w:p w:rsidR="006E1A40" w:rsidRPr="006E1A40" w:rsidRDefault="00670114" w:rsidP="006E1A40">
            <w:pPr>
              <w:jc w:val="right"/>
              <w:rPr>
                <w:b/>
                <w:sz w:val="22"/>
                <w:szCs w:val="22"/>
              </w:rPr>
            </w:pPr>
            <w:r w:rsidRPr="00670114">
              <w:rPr>
                <w:b/>
                <w:sz w:val="22"/>
                <w:szCs w:val="22"/>
              </w:rPr>
              <w:t>£m</w:t>
            </w:r>
          </w:p>
        </w:tc>
        <w:tc>
          <w:tcPr>
            <w:tcW w:w="3118" w:type="dxa"/>
            <w:gridSpan w:val="2"/>
          </w:tcPr>
          <w:p w:rsidR="006E1A40" w:rsidRPr="006E1A40" w:rsidRDefault="00670114" w:rsidP="006E1A40">
            <w:pPr>
              <w:jc w:val="right"/>
              <w:rPr>
                <w:b/>
                <w:sz w:val="22"/>
                <w:szCs w:val="22"/>
              </w:rPr>
            </w:pPr>
            <w:r w:rsidRPr="00670114">
              <w:rPr>
                <w:b/>
                <w:sz w:val="22"/>
                <w:szCs w:val="22"/>
              </w:rPr>
              <w:t>£m</w:t>
            </w:r>
          </w:p>
        </w:tc>
      </w:tr>
      <w:tr w:rsidR="00E1306D" w:rsidTr="00E1306D">
        <w:trPr>
          <w:trHeight w:val="295"/>
        </w:trPr>
        <w:tc>
          <w:tcPr>
            <w:tcW w:w="3783" w:type="dxa"/>
          </w:tcPr>
          <w:p w:rsidR="006E1A40" w:rsidRPr="006E1A40" w:rsidRDefault="00670114" w:rsidP="006E1A40">
            <w:pPr>
              <w:rPr>
                <w:b/>
                <w:sz w:val="22"/>
                <w:szCs w:val="22"/>
              </w:rPr>
            </w:pPr>
            <w:r w:rsidRPr="00670114">
              <w:rPr>
                <w:b/>
                <w:sz w:val="22"/>
                <w:szCs w:val="22"/>
              </w:rPr>
              <w:t>Cash and cash equivalents</w:t>
            </w:r>
          </w:p>
        </w:tc>
        <w:tc>
          <w:tcPr>
            <w:tcW w:w="2693" w:type="dxa"/>
          </w:tcPr>
          <w:p w:rsidR="006E1A40" w:rsidRPr="006E1A40" w:rsidRDefault="00670114" w:rsidP="006E1A40">
            <w:pPr>
              <w:jc w:val="right"/>
              <w:rPr>
                <w:sz w:val="22"/>
                <w:szCs w:val="22"/>
              </w:rPr>
            </w:pPr>
            <w:r w:rsidRPr="00670114">
              <w:rPr>
                <w:sz w:val="22"/>
                <w:szCs w:val="22"/>
              </w:rPr>
              <w:t>170.5</w:t>
            </w:r>
          </w:p>
        </w:tc>
        <w:tc>
          <w:tcPr>
            <w:tcW w:w="3118" w:type="dxa"/>
            <w:gridSpan w:val="2"/>
          </w:tcPr>
          <w:p w:rsidR="006E1A40" w:rsidRPr="006E1A40" w:rsidRDefault="00670114" w:rsidP="006E1A40">
            <w:pPr>
              <w:jc w:val="right"/>
              <w:rPr>
                <w:sz w:val="22"/>
                <w:szCs w:val="22"/>
              </w:rPr>
            </w:pPr>
            <w:r w:rsidRPr="00670114">
              <w:rPr>
                <w:sz w:val="22"/>
                <w:szCs w:val="22"/>
              </w:rPr>
              <w:tab/>
              <w:t>126.8</w:t>
            </w:r>
          </w:p>
        </w:tc>
      </w:tr>
      <w:tr w:rsidR="00E1306D" w:rsidTr="00E1306D">
        <w:tc>
          <w:tcPr>
            <w:tcW w:w="3783" w:type="dxa"/>
          </w:tcPr>
          <w:p w:rsidR="006E1A40" w:rsidRPr="006E1A40" w:rsidRDefault="00670114" w:rsidP="006E1A40">
            <w:pPr>
              <w:rPr>
                <w:b/>
                <w:sz w:val="22"/>
                <w:szCs w:val="22"/>
              </w:rPr>
            </w:pPr>
            <w:r w:rsidRPr="00670114">
              <w:rPr>
                <w:b/>
                <w:sz w:val="22"/>
                <w:szCs w:val="22"/>
              </w:rPr>
              <w:t xml:space="preserve">Fixed interest securities </w:t>
            </w:r>
          </w:p>
        </w:tc>
        <w:tc>
          <w:tcPr>
            <w:tcW w:w="2693" w:type="dxa"/>
          </w:tcPr>
          <w:p w:rsidR="006E1A40" w:rsidRPr="006E1A40" w:rsidRDefault="00670114" w:rsidP="006E1A40">
            <w:pPr>
              <w:jc w:val="right"/>
              <w:rPr>
                <w:sz w:val="22"/>
                <w:szCs w:val="22"/>
              </w:rPr>
            </w:pPr>
            <w:r w:rsidRPr="00670114">
              <w:rPr>
                <w:sz w:val="22"/>
                <w:szCs w:val="22"/>
              </w:rPr>
              <w:t>1,255.5</w:t>
            </w:r>
          </w:p>
        </w:tc>
        <w:tc>
          <w:tcPr>
            <w:tcW w:w="3118" w:type="dxa"/>
            <w:gridSpan w:val="2"/>
          </w:tcPr>
          <w:p w:rsidR="006E1A40" w:rsidRPr="006E1A40" w:rsidRDefault="00670114" w:rsidP="006E1A40">
            <w:pPr>
              <w:jc w:val="right"/>
              <w:rPr>
                <w:sz w:val="22"/>
                <w:szCs w:val="22"/>
              </w:rPr>
            </w:pPr>
            <w:r w:rsidRPr="00670114">
              <w:rPr>
                <w:sz w:val="22"/>
                <w:szCs w:val="22"/>
              </w:rPr>
              <w:t>815.6</w:t>
            </w:r>
          </w:p>
        </w:tc>
      </w:tr>
      <w:tr w:rsidR="00E1306D" w:rsidTr="00E1306D">
        <w:tc>
          <w:tcPr>
            <w:tcW w:w="3783" w:type="dxa"/>
          </w:tcPr>
          <w:p w:rsidR="006E1A40" w:rsidRPr="006E1A40" w:rsidRDefault="00670114" w:rsidP="006E1A40">
            <w:pPr>
              <w:rPr>
                <w:b/>
                <w:sz w:val="22"/>
                <w:szCs w:val="22"/>
              </w:rPr>
            </w:pPr>
            <w:r w:rsidRPr="00670114">
              <w:rPr>
                <w:b/>
                <w:sz w:val="22"/>
                <w:szCs w:val="22"/>
              </w:rPr>
              <w:t xml:space="preserve">Total </w:t>
            </w:r>
          </w:p>
        </w:tc>
        <w:tc>
          <w:tcPr>
            <w:tcW w:w="2693" w:type="dxa"/>
          </w:tcPr>
          <w:p w:rsidR="006E1A40" w:rsidRPr="006E1A40" w:rsidRDefault="00670114" w:rsidP="006E1A40">
            <w:pPr>
              <w:jc w:val="right"/>
              <w:rPr>
                <w:b/>
                <w:sz w:val="22"/>
                <w:szCs w:val="22"/>
              </w:rPr>
            </w:pPr>
            <w:r w:rsidRPr="00670114">
              <w:rPr>
                <w:b/>
                <w:sz w:val="22"/>
                <w:szCs w:val="22"/>
              </w:rPr>
              <w:t>1,426.0</w:t>
            </w:r>
          </w:p>
        </w:tc>
        <w:tc>
          <w:tcPr>
            <w:tcW w:w="3118" w:type="dxa"/>
            <w:gridSpan w:val="2"/>
          </w:tcPr>
          <w:p w:rsidR="006E1A40" w:rsidRPr="006E1A40" w:rsidRDefault="00670114" w:rsidP="006E1A40">
            <w:pPr>
              <w:jc w:val="right"/>
              <w:rPr>
                <w:b/>
                <w:sz w:val="22"/>
                <w:szCs w:val="22"/>
              </w:rPr>
            </w:pPr>
            <w:r w:rsidRPr="00670114">
              <w:rPr>
                <w:b/>
                <w:sz w:val="22"/>
                <w:szCs w:val="22"/>
              </w:rPr>
              <w:t>942.4</w:t>
            </w:r>
          </w:p>
        </w:tc>
      </w:tr>
    </w:tbl>
    <w:p w:rsidR="006E1A40" w:rsidRDefault="006E1A40" w:rsidP="006E1A40">
      <w:pPr>
        <w:ind w:left="720"/>
      </w:pPr>
    </w:p>
    <w:p w:rsidR="006E1A40" w:rsidRDefault="006E1A40" w:rsidP="006E1A40">
      <w:pPr>
        <w:ind w:left="720"/>
        <w:rPr>
          <w:b/>
        </w:rPr>
      </w:pPr>
    </w:p>
    <w:p w:rsidR="006E1A40" w:rsidRDefault="006E1A40" w:rsidP="006E1A40">
      <w:pPr>
        <w:ind w:left="720"/>
        <w:rPr>
          <w:b/>
        </w:rPr>
      </w:pPr>
      <w:r>
        <w:rPr>
          <w:b/>
        </w:rPr>
        <w:t xml:space="preserve">Interest rate risk sensitivity analysis </w:t>
      </w:r>
    </w:p>
    <w:p w:rsidR="006E1A40" w:rsidRDefault="006E1A40" w:rsidP="006E1A40">
      <w:pPr>
        <w:ind w:left="720"/>
        <w:rPr>
          <w:b/>
        </w:rPr>
      </w:pPr>
    </w:p>
    <w:p w:rsidR="006E1A40" w:rsidRDefault="006E1A40" w:rsidP="006E1A40">
      <w:pPr>
        <w:ind w:left="720"/>
      </w:pPr>
      <w:r>
        <w:t xml:space="preserve">The Fund has recognised that interest rates can vary and can affect both income to the Fund and the value of the net assets available to pay benefits. A 110 basis point (BPS) movement in interest rates is consistent with the level of sensitivity applied as part of the Fund's risk management strategy.  The Fund's investment advisor has advised that long–term average rates are expected to move </w:t>
      </w:r>
      <w:proofErr w:type="gramStart"/>
      <w:r>
        <w:t>less than 110 basis point</w:t>
      </w:r>
      <w:proofErr w:type="gramEnd"/>
      <w:r>
        <w:t xml:space="preserve"> for one year to the next and experience suggests that such movements are likely. </w:t>
      </w:r>
    </w:p>
    <w:p w:rsidR="006E1A40" w:rsidRDefault="006E1A40" w:rsidP="006E1A40">
      <w:pPr>
        <w:ind w:left="720"/>
      </w:pPr>
    </w:p>
    <w:p w:rsidR="006E1A40" w:rsidRDefault="006E1A40" w:rsidP="006E1A40">
      <w:pPr>
        <w:ind w:left="720"/>
      </w:pPr>
      <w:r>
        <w:t xml:space="preserve">The analysis that follows assumes that all other variables, in particular exchange rates, remain constant, and shows the effect in the year on the net assets available to pay benefits of a +/- 100 BPS change in interest rates: </w:t>
      </w:r>
    </w:p>
    <w:p w:rsidR="006E1A40" w:rsidRDefault="006E1A40" w:rsidP="006E1A40">
      <w:pPr>
        <w:ind w:left="720"/>
      </w:pPr>
      <w:r>
        <w:t xml:space="preserve">  </w:t>
      </w:r>
    </w:p>
    <w:tbl>
      <w:tblPr>
        <w:tblStyle w:val="TableGrid"/>
        <w:tblW w:w="9878" w:type="dxa"/>
        <w:tblInd w:w="720" w:type="dxa"/>
        <w:tblBorders>
          <w:left w:val="none" w:sz="0" w:space="0" w:color="auto"/>
          <w:right w:val="none" w:sz="0" w:space="0" w:color="auto"/>
          <w:insideV w:val="none" w:sz="0" w:space="0" w:color="auto"/>
        </w:tblBorders>
        <w:tblLayout w:type="fixed"/>
        <w:tblLook w:val="04A0"/>
      </w:tblPr>
      <w:tblGrid>
        <w:gridCol w:w="3499"/>
        <w:gridCol w:w="2552"/>
        <w:gridCol w:w="425"/>
        <w:gridCol w:w="1701"/>
        <w:gridCol w:w="1701"/>
      </w:tblGrid>
      <w:tr w:rsidR="006E1A40" w:rsidRPr="006E1A40" w:rsidTr="00C343B4">
        <w:tc>
          <w:tcPr>
            <w:tcW w:w="3499" w:type="dxa"/>
          </w:tcPr>
          <w:p w:rsidR="006E1A40" w:rsidRPr="006E1A40" w:rsidRDefault="00670114" w:rsidP="006E1A40">
            <w:pPr>
              <w:rPr>
                <w:b/>
                <w:sz w:val="22"/>
                <w:szCs w:val="22"/>
              </w:rPr>
            </w:pPr>
            <w:r w:rsidRPr="00670114">
              <w:rPr>
                <w:b/>
                <w:sz w:val="22"/>
                <w:szCs w:val="22"/>
              </w:rPr>
              <w:t xml:space="preserve">Asset Type </w:t>
            </w:r>
          </w:p>
        </w:tc>
        <w:tc>
          <w:tcPr>
            <w:tcW w:w="2977" w:type="dxa"/>
            <w:gridSpan w:val="2"/>
          </w:tcPr>
          <w:p w:rsidR="006E1A40" w:rsidRPr="006E1A40" w:rsidRDefault="00670114" w:rsidP="006E1A40">
            <w:pPr>
              <w:jc w:val="center"/>
              <w:rPr>
                <w:b/>
                <w:sz w:val="22"/>
                <w:szCs w:val="22"/>
              </w:rPr>
            </w:pPr>
            <w:r w:rsidRPr="00670114">
              <w:rPr>
                <w:b/>
                <w:sz w:val="22"/>
                <w:szCs w:val="22"/>
              </w:rPr>
              <w:t>Carrying amounts as at 31 March 2013</w:t>
            </w:r>
          </w:p>
        </w:tc>
        <w:tc>
          <w:tcPr>
            <w:tcW w:w="3402" w:type="dxa"/>
            <w:gridSpan w:val="2"/>
          </w:tcPr>
          <w:p w:rsidR="006E1A40" w:rsidRPr="006E1A40" w:rsidRDefault="00670114" w:rsidP="006E1A40">
            <w:pPr>
              <w:jc w:val="center"/>
              <w:rPr>
                <w:b/>
                <w:sz w:val="22"/>
                <w:szCs w:val="22"/>
              </w:rPr>
            </w:pPr>
            <w:r w:rsidRPr="00670114">
              <w:rPr>
                <w:b/>
                <w:sz w:val="22"/>
                <w:szCs w:val="22"/>
              </w:rPr>
              <w:t xml:space="preserve">Change in year in net assets available to pay benefits  </w:t>
            </w:r>
          </w:p>
        </w:tc>
      </w:tr>
      <w:tr w:rsidR="006E1A40" w:rsidRPr="006E1A40" w:rsidTr="00C343B4">
        <w:tc>
          <w:tcPr>
            <w:tcW w:w="3499" w:type="dxa"/>
          </w:tcPr>
          <w:p w:rsidR="006E1A40" w:rsidRPr="006E1A40" w:rsidRDefault="006E1A40" w:rsidP="006E1A40">
            <w:pPr>
              <w:rPr>
                <w:b/>
                <w:sz w:val="22"/>
                <w:szCs w:val="22"/>
              </w:rPr>
            </w:pPr>
          </w:p>
        </w:tc>
        <w:tc>
          <w:tcPr>
            <w:tcW w:w="2977" w:type="dxa"/>
            <w:gridSpan w:val="2"/>
          </w:tcPr>
          <w:p w:rsidR="006E1A40" w:rsidRPr="006E1A40" w:rsidRDefault="006E1A40" w:rsidP="006E1A40">
            <w:pPr>
              <w:jc w:val="right"/>
              <w:rPr>
                <w:b/>
                <w:sz w:val="22"/>
                <w:szCs w:val="22"/>
              </w:rPr>
            </w:pPr>
          </w:p>
        </w:tc>
        <w:tc>
          <w:tcPr>
            <w:tcW w:w="1701" w:type="dxa"/>
          </w:tcPr>
          <w:p w:rsidR="006E1A40" w:rsidRPr="006E1A40" w:rsidRDefault="00670114" w:rsidP="006E1A40">
            <w:pPr>
              <w:jc w:val="right"/>
              <w:rPr>
                <w:b/>
                <w:sz w:val="22"/>
                <w:szCs w:val="22"/>
              </w:rPr>
            </w:pPr>
            <w:r w:rsidRPr="00670114">
              <w:rPr>
                <w:b/>
                <w:sz w:val="22"/>
                <w:szCs w:val="22"/>
              </w:rPr>
              <w:t xml:space="preserve">+100BPS  </w:t>
            </w:r>
          </w:p>
        </w:tc>
        <w:tc>
          <w:tcPr>
            <w:tcW w:w="1701" w:type="dxa"/>
          </w:tcPr>
          <w:p w:rsidR="006E1A40" w:rsidRPr="006E1A40" w:rsidRDefault="00670114" w:rsidP="006E1A40">
            <w:pPr>
              <w:jc w:val="right"/>
              <w:rPr>
                <w:b/>
                <w:sz w:val="22"/>
                <w:szCs w:val="22"/>
              </w:rPr>
            </w:pPr>
            <w:r w:rsidRPr="00670114">
              <w:rPr>
                <w:b/>
                <w:sz w:val="22"/>
                <w:szCs w:val="22"/>
              </w:rPr>
              <w:t xml:space="preserve">-100BPS </w:t>
            </w:r>
          </w:p>
        </w:tc>
      </w:tr>
      <w:tr w:rsidR="006E1A40" w:rsidRPr="006E1A40" w:rsidTr="00C343B4">
        <w:tc>
          <w:tcPr>
            <w:tcW w:w="3499" w:type="dxa"/>
          </w:tcPr>
          <w:p w:rsidR="006E1A40" w:rsidRPr="006E1A40" w:rsidRDefault="006E1A40" w:rsidP="006E1A40">
            <w:pPr>
              <w:rPr>
                <w:b/>
                <w:sz w:val="22"/>
                <w:szCs w:val="22"/>
              </w:rPr>
            </w:pPr>
          </w:p>
        </w:tc>
        <w:tc>
          <w:tcPr>
            <w:tcW w:w="2552" w:type="dxa"/>
          </w:tcPr>
          <w:p w:rsidR="006E1A40" w:rsidRPr="006E1A40" w:rsidRDefault="00670114" w:rsidP="006E1A40">
            <w:pPr>
              <w:jc w:val="right"/>
              <w:rPr>
                <w:b/>
                <w:sz w:val="22"/>
                <w:szCs w:val="22"/>
              </w:rPr>
            </w:pPr>
            <w:r w:rsidRPr="00670114">
              <w:rPr>
                <w:b/>
                <w:sz w:val="22"/>
                <w:szCs w:val="22"/>
              </w:rPr>
              <w:t>£m</w:t>
            </w:r>
          </w:p>
        </w:tc>
        <w:tc>
          <w:tcPr>
            <w:tcW w:w="2126" w:type="dxa"/>
            <w:gridSpan w:val="2"/>
          </w:tcPr>
          <w:p w:rsidR="006E1A40" w:rsidRPr="006E1A40" w:rsidRDefault="00670114" w:rsidP="006E1A40">
            <w:pPr>
              <w:jc w:val="right"/>
              <w:rPr>
                <w:b/>
                <w:sz w:val="22"/>
                <w:szCs w:val="22"/>
              </w:rPr>
            </w:pPr>
            <w:r w:rsidRPr="00670114">
              <w:rPr>
                <w:b/>
                <w:sz w:val="22"/>
                <w:szCs w:val="22"/>
              </w:rPr>
              <w:t>£m</w:t>
            </w:r>
          </w:p>
        </w:tc>
        <w:tc>
          <w:tcPr>
            <w:tcW w:w="1701" w:type="dxa"/>
          </w:tcPr>
          <w:p w:rsidR="006E1A40" w:rsidRPr="006E1A40" w:rsidRDefault="00670114" w:rsidP="006E1A40">
            <w:pPr>
              <w:jc w:val="right"/>
              <w:rPr>
                <w:b/>
                <w:sz w:val="22"/>
                <w:szCs w:val="22"/>
              </w:rPr>
            </w:pPr>
            <w:r w:rsidRPr="00670114">
              <w:rPr>
                <w:b/>
                <w:sz w:val="22"/>
                <w:szCs w:val="22"/>
              </w:rPr>
              <w:t>£m</w:t>
            </w:r>
          </w:p>
        </w:tc>
      </w:tr>
      <w:tr w:rsidR="006E1A40" w:rsidRPr="006E1A40" w:rsidTr="00C343B4">
        <w:tc>
          <w:tcPr>
            <w:tcW w:w="3499" w:type="dxa"/>
          </w:tcPr>
          <w:p w:rsidR="006E1A40" w:rsidRPr="006E1A40" w:rsidRDefault="006E1A40" w:rsidP="006E1A40">
            <w:pPr>
              <w:rPr>
                <w:sz w:val="22"/>
                <w:szCs w:val="22"/>
              </w:rPr>
            </w:pPr>
          </w:p>
        </w:tc>
        <w:tc>
          <w:tcPr>
            <w:tcW w:w="2552" w:type="dxa"/>
          </w:tcPr>
          <w:p w:rsidR="006E1A40" w:rsidRPr="006E1A40" w:rsidRDefault="006E1A40" w:rsidP="006E1A40">
            <w:pPr>
              <w:rPr>
                <w:sz w:val="22"/>
                <w:szCs w:val="22"/>
              </w:rPr>
            </w:pPr>
          </w:p>
        </w:tc>
        <w:tc>
          <w:tcPr>
            <w:tcW w:w="2126" w:type="dxa"/>
            <w:gridSpan w:val="2"/>
          </w:tcPr>
          <w:p w:rsidR="006E1A40" w:rsidRPr="006E1A40" w:rsidRDefault="006E1A40" w:rsidP="006E1A40">
            <w:pPr>
              <w:rPr>
                <w:sz w:val="22"/>
                <w:szCs w:val="22"/>
              </w:rPr>
            </w:pPr>
          </w:p>
        </w:tc>
        <w:tc>
          <w:tcPr>
            <w:tcW w:w="1701" w:type="dxa"/>
          </w:tcPr>
          <w:p w:rsidR="006E1A40" w:rsidRPr="006E1A40" w:rsidRDefault="006E1A40" w:rsidP="006E1A40">
            <w:pPr>
              <w:rPr>
                <w:sz w:val="22"/>
                <w:szCs w:val="22"/>
              </w:rPr>
            </w:pPr>
          </w:p>
        </w:tc>
      </w:tr>
      <w:tr w:rsidR="006E1A40" w:rsidRPr="006E1A40" w:rsidTr="00C343B4">
        <w:tc>
          <w:tcPr>
            <w:tcW w:w="3499" w:type="dxa"/>
          </w:tcPr>
          <w:p w:rsidR="006E1A40" w:rsidRPr="006E1A40" w:rsidRDefault="00670114" w:rsidP="006E1A40">
            <w:pPr>
              <w:rPr>
                <w:sz w:val="22"/>
                <w:szCs w:val="22"/>
              </w:rPr>
            </w:pPr>
            <w:r w:rsidRPr="00670114">
              <w:rPr>
                <w:sz w:val="22"/>
                <w:szCs w:val="22"/>
              </w:rPr>
              <w:t xml:space="preserve">Cash and cash equivalents  </w:t>
            </w:r>
          </w:p>
        </w:tc>
        <w:tc>
          <w:tcPr>
            <w:tcW w:w="2552" w:type="dxa"/>
          </w:tcPr>
          <w:p w:rsidR="006E1A40" w:rsidRPr="006E1A40" w:rsidRDefault="00670114" w:rsidP="006E1A40">
            <w:pPr>
              <w:jc w:val="right"/>
              <w:rPr>
                <w:sz w:val="22"/>
                <w:szCs w:val="22"/>
              </w:rPr>
            </w:pPr>
            <w:r w:rsidRPr="00670114">
              <w:rPr>
                <w:sz w:val="22"/>
                <w:szCs w:val="22"/>
              </w:rPr>
              <w:t>170.5</w:t>
            </w:r>
          </w:p>
        </w:tc>
        <w:tc>
          <w:tcPr>
            <w:tcW w:w="2126" w:type="dxa"/>
            <w:gridSpan w:val="2"/>
          </w:tcPr>
          <w:p w:rsidR="006E1A40" w:rsidRPr="006E1A40" w:rsidRDefault="00670114" w:rsidP="006E1A40">
            <w:pPr>
              <w:jc w:val="right"/>
              <w:rPr>
                <w:sz w:val="22"/>
                <w:szCs w:val="22"/>
              </w:rPr>
            </w:pPr>
            <w:r w:rsidRPr="00670114">
              <w:rPr>
                <w:sz w:val="22"/>
                <w:szCs w:val="22"/>
              </w:rPr>
              <w:t>1.7</w:t>
            </w:r>
          </w:p>
        </w:tc>
        <w:tc>
          <w:tcPr>
            <w:tcW w:w="1701" w:type="dxa"/>
          </w:tcPr>
          <w:p w:rsidR="006E1A40" w:rsidRPr="006E1A40" w:rsidRDefault="00670114" w:rsidP="006E1A40">
            <w:pPr>
              <w:jc w:val="right"/>
              <w:rPr>
                <w:sz w:val="22"/>
                <w:szCs w:val="22"/>
              </w:rPr>
            </w:pPr>
            <w:r w:rsidRPr="00670114">
              <w:rPr>
                <w:sz w:val="22"/>
                <w:szCs w:val="22"/>
              </w:rPr>
              <w:t>(1.7)</w:t>
            </w:r>
          </w:p>
        </w:tc>
      </w:tr>
      <w:tr w:rsidR="004B380D" w:rsidRPr="00C343B4" w:rsidTr="00C343B4">
        <w:tc>
          <w:tcPr>
            <w:tcW w:w="3499" w:type="dxa"/>
          </w:tcPr>
          <w:p w:rsidR="004B380D" w:rsidRDefault="004B380D" w:rsidP="004B380D">
            <w:pPr>
              <w:ind w:left="2098" w:hanging="2098"/>
              <w:rPr>
                <w:b/>
                <w:sz w:val="22"/>
                <w:szCs w:val="22"/>
              </w:rPr>
            </w:pPr>
            <w:r w:rsidRPr="00AD04FE">
              <w:rPr>
                <w:sz w:val="22"/>
                <w:szCs w:val="22"/>
              </w:rPr>
              <w:t>Fixed interest securities</w:t>
            </w:r>
          </w:p>
        </w:tc>
        <w:tc>
          <w:tcPr>
            <w:tcW w:w="2552" w:type="dxa"/>
          </w:tcPr>
          <w:p w:rsidR="004B380D" w:rsidRPr="004B380D" w:rsidRDefault="00670114" w:rsidP="006E1A40">
            <w:pPr>
              <w:jc w:val="right"/>
              <w:rPr>
                <w:sz w:val="22"/>
                <w:szCs w:val="22"/>
              </w:rPr>
            </w:pPr>
            <w:r w:rsidRPr="00670114">
              <w:rPr>
                <w:sz w:val="22"/>
                <w:szCs w:val="22"/>
              </w:rPr>
              <w:t>1,255.5</w:t>
            </w:r>
          </w:p>
        </w:tc>
        <w:tc>
          <w:tcPr>
            <w:tcW w:w="2126" w:type="dxa"/>
            <w:gridSpan w:val="2"/>
          </w:tcPr>
          <w:p w:rsidR="004B380D" w:rsidRPr="004B380D" w:rsidRDefault="004B380D" w:rsidP="006E1A40">
            <w:pPr>
              <w:jc w:val="right"/>
              <w:rPr>
                <w:sz w:val="22"/>
                <w:szCs w:val="22"/>
              </w:rPr>
            </w:pPr>
            <w:r>
              <w:rPr>
                <w:sz w:val="22"/>
                <w:szCs w:val="22"/>
              </w:rPr>
              <w:t>12.5</w:t>
            </w:r>
          </w:p>
        </w:tc>
        <w:tc>
          <w:tcPr>
            <w:tcW w:w="1701" w:type="dxa"/>
          </w:tcPr>
          <w:p w:rsidR="004B380D" w:rsidRPr="004B380D" w:rsidRDefault="004B380D" w:rsidP="006E1A40">
            <w:pPr>
              <w:jc w:val="right"/>
              <w:rPr>
                <w:sz w:val="22"/>
                <w:szCs w:val="22"/>
              </w:rPr>
            </w:pPr>
            <w:r>
              <w:rPr>
                <w:sz w:val="22"/>
                <w:szCs w:val="22"/>
              </w:rPr>
              <w:t>(12.5)</w:t>
            </w:r>
          </w:p>
        </w:tc>
      </w:tr>
      <w:tr w:rsidR="006E1A40" w:rsidRPr="00C343B4" w:rsidTr="00C343B4">
        <w:tc>
          <w:tcPr>
            <w:tcW w:w="3499" w:type="dxa"/>
          </w:tcPr>
          <w:p w:rsidR="00897DBF" w:rsidRDefault="004B380D">
            <w:pPr>
              <w:ind w:left="2098" w:hanging="2098"/>
              <w:rPr>
                <w:b/>
                <w:sz w:val="22"/>
                <w:szCs w:val="22"/>
              </w:rPr>
            </w:pPr>
            <w:r>
              <w:rPr>
                <w:b/>
                <w:sz w:val="22"/>
                <w:szCs w:val="22"/>
              </w:rPr>
              <w:t>T</w:t>
            </w:r>
            <w:r w:rsidR="00670114" w:rsidRPr="00670114">
              <w:rPr>
                <w:b/>
                <w:sz w:val="22"/>
                <w:szCs w:val="22"/>
              </w:rPr>
              <w:t xml:space="preserve">otal change in asset available </w:t>
            </w:r>
          </w:p>
        </w:tc>
        <w:tc>
          <w:tcPr>
            <w:tcW w:w="2552" w:type="dxa"/>
          </w:tcPr>
          <w:p w:rsidR="006E1A40" w:rsidRPr="006E1A40" w:rsidRDefault="00670114" w:rsidP="006E1A40">
            <w:pPr>
              <w:jc w:val="right"/>
              <w:rPr>
                <w:b/>
                <w:sz w:val="22"/>
                <w:szCs w:val="22"/>
              </w:rPr>
            </w:pPr>
            <w:r w:rsidRPr="00670114">
              <w:rPr>
                <w:b/>
                <w:sz w:val="22"/>
                <w:szCs w:val="22"/>
              </w:rPr>
              <w:t>1,426.0</w:t>
            </w:r>
          </w:p>
        </w:tc>
        <w:tc>
          <w:tcPr>
            <w:tcW w:w="2126" w:type="dxa"/>
            <w:gridSpan w:val="2"/>
          </w:tcPr>
          <w:p w:rsidR="006E1A40" w:rsidRPr="006E1A40" w:rsidRDefault="00670114" w:rsidP="006E1A40">
            <w:pPr>
              <w:jc w:val="right"/>
              <w:rPr>
                <w:b/>
                <w:sz w:val="22"/>
                <w:szCs w:val="22"/>
              </w:rPr>
            </w:pPr>
            <w:r w:rsidRPr="00670114">
              <w:rPr>
                <w:b/>
                <w:sz w:val="22"/>
                <w:szCs w:val="22"/>
              </w:rPr>
              <w:t>14.2</w:t>
            </w:r>
          </w:p>
        </w:tc>
        <w:tc>
          <w:tcPr>
            <w:tcW w:w="1701" w:type="dxa"/>
          </w:tcPr>
          <w:p w:rsidR="006E1A40" w:rsidRPr="004B380D" w:rsidRDefault="00670114" w:rsidP="006E1A40">
            <w:pPr>
              <w:jc w:val="right"/>
              <w:rPr>
                <w:b/>
                <w:sz w:val="22"/>
                <w:szCs w:val="22"/>
              </w:rPr>
            </w:pPr>
            <w:r w:rsidRPr="00670114">
              <w:rPr>
                <w:b/>
                <w:sz w:val="22"/>
                <w:szCs w:val="22"/>
              </w:rPr>
              <w:t>(14.2)</w:t>
            </w:r>
          </w:p>
        </w:tc>
      </w:tr>
    </w:tbl>
    <w:p w:rsidR="006E1A40" w:rsidRPr="006E1A40" w:rsidRDefault="006E1A40" w:rsidP="006E1A40">
      <w:pPr>
        <w:ind w:left="720"/>
        <w:rPr>
          <w:sz w:val="22"/>
          <w:szCs w:val="22"/>
        </w:rPr>
      </w:pPr>
    </w:p>
    <w:p w:rsidR="006E1A40" w:rsidRPr="006E1A40" w:rsidRDefault="00670114" w:rsidP="006E1A40">
      <w:pPr>
        <w:ind w:left="720"/>
        <w:rPr>
          <w:sz w:val="22"/>
          <w:szCs w:val="22"/>
        </w:rPr>
      </w:pPr>
      <w:r w:rsidRPr="00670114">
        <w:rPr>
          <w:sz w:val="22"/>
          <w:szCs w:val="22"/>
        </w:rPr>
        <w:t xml:space="preserve">  </w:t>
      </w:r>
    </w:p>
    <w:tbl>
      <w:tblPr>
        <w:tblStyle w:val="TableGrid"/>
        <w:tblW w:w="10161" w:type="dxa"/>
        <w:tblInd w:w="720" w:type="dxa"/>
        <w:tblBorders>
          <w:left w:val="none" w:sz="0" w:space="0" w:color="auto"/>
          <w:right w:val="none" w:sz="0" w:space="0" w:color="auto"/>
          <w:insideV w:val="none" w:sz="0" w:space="0" w:color="auto"/>
        </w:tblBorders>
        <w:tblLayout w:type="fixed"/>
        <w:tblLook w:val="04A0"/>
      </w:tblPr>
      <w:tblGrid>
        <w:gridCol w:w="3641"/>
        <w:gridCol w:w="2410"/>
        <w:gridCol w:w="610"/>
        <w:gridCol w:w="1516"/>
        <w:gridCol w:w="1701"/>
        <w:gridCol w:w="283"/>
      </w:tblGrid>
      <w:tr w:rsidR="006E1A40" w:rsidRPr="006E1A40" w:rsidTr="00C343B4">
        <w:tc>
          <w:tcPr>
            <w:tcW w:w="3641" w:type="dxa"/>
          </w:tcPr>
          <w:p w:rsidR="006E1A40" w:rsidRPr="006E1A40" w:rsidRDefault="00670114" w:rsidP="006E1A40">
            <w:pPr>
              <w:rPr>
                <w:b/>
                <w:sz w:val="22"/>
                <w:szCs w:val="22"/>
              </w:rPr>
            </w:pPr>
            <w:r w:rsidRPr="00670114">
              <w:rPr>
                <w:b/>
                <w:sz w:val="22"/>
                <w:szCs w:val="22"/>
              </w:rPr>
              <w:t xml:space="preserve">Asset Type </w:t>
            </w:r>
          </w:p>
        </w:tc>
        <w:tc>
          <w:tcPr>
            <w:tcW w:w="3020" w:type="dxa"/>
            <w:gridSpan w:val="2"/>
          </w:tcPr>
          <w:p w:rsidR="006E1A40" w:rsidRPr="006E1A40" w:rsidRDefault="00670114" w:rsidP="006E1A40">
            <w:pPr>
              <w:jc w:val="center"/>
              <w:rPr>
                <w:b/>
                <w:sz w:val="22"/>
                <w:szCs w:val="22"/>
              </w:rPr>
            </w:pPr>
            <w:r w:rsidRPr="00670114">
              <w:rPr>
                <w:b/>
                <w:sz w:val="22"/>
                <w:szCs w:val="22"/>
              </w:rPr>
              <w:t>Carrying amounts as at 31 March 2012</w:t>
            </w:r>
          </w:p>
        </w:tc>
        <w:tc>
          <w:tcPr>
            <w:tcW w:w="3500" w:type="dxa"/>
            <w:gridSpan w:val="3"/>
          </w:tcPr>
          <w:p w:rsidR="00897DBF" w:rsidRDefault="00670114">
            <w:pPr>
              <w:ind w:right="175"/>
              <w:jc w:val="center"/>
              <w:rPr>
                <w:b/>
                <w:sz w:val="22"/>
                <w:szCs w:val="22"/>
              </w:rPr>
            </w:pPr>
            <w:r w:rsidRPr="00670114">
              <w:rPr>
                <w:b/>
                <w:sz w:val="22"/>
                <w:szCs w:val="22"/>
              </w:rPr>
              <w:t xml:space="preserve">Change in year in net assets available to pay benefits  </w:t>
            </w:r>
          </w:p>
        </w:tc>
      </w:tr>
      <w:tr w:rsidR="006E1A40" w:rsidRPr="006E1A40" w:rsidTr="00C343B4">
        <w:trPr>
          <w:gridAfter w:val="1"/>
          <w:wAfter w:w="283" w:type="dxa"/>
        </w:trPr>
        <w:tc>
          <w:tcPr>
            <w:tcW w:w="3641" w:type="dxa"/>
          </w:tcPr>
          <w:p w:rsidR="006E1A40" w:rsidRPr="006E1A40" w:rsidRDefault="006E1A40" w:rsidP="006E1A40">
            <w:pPr>
              <w:rPr>
                <w:b/>
                <w:sz w:val="22"/>
                <w:szCs w:val="22"/>
              </w:rPr>
            </w:pPr>
          </w:p>
        </w:tc>
        <w:tc>
          <w:tcPr>
            <w:tcW w:w="3020" w:type="dxa"/>
            <w:gridSpan w:val="2"/>
          </w:tcPr>
          <w:p w:rsidR="006E1A40" w:rsidRPr="006E1A40" w:rsidRDefault="006E1A40" w:rsidP="006E1A40">
            <w:pPr>
              <w:jc w:val="right"/>
              <w:rPr>
                <w:b/>
                <w:sz w:val="22"/>
                <w:szCs w:val="22"/>
              </w:rPr>
            </w:pPr>
          </w:p>
        </w:tc>
        <w:tc>
          <w:tcPr>
            <w:tcW w:w="1516" w:type="dxa"/>
          </w:tcPr>
          <w:p w:rsidR="006E1A40" w:rsidRPr="006E1A40" w:rsidRDefault="00670114" w:rsidP="006E1A40">
            <w:pPr>
              <w:jc w:val="right"/>
              <w:rPr>
                <w:b/>
                <w:sz w:val="22"/>
                <w:szCs w:val="22"/>
              </w:rPr>
            </w:pPr>
            <w:r w:rsidRPr="00670114">
              <w:rPr>
                <w:b/>
                <w:sz w:val="22"/>
                <w:szCs w:val="22"/>
              </w:rPr>
              <w:t xml:space="preserve">+100BPS  </w:t>
            </w:r>
          </w:p>
        </w:tc>
        <w:tc>
          <w:tcPr>
            <w:tcW w:w="1701" w:type="dxa"/>
          </w:tcPr>
          <w:p w:rsidR="006E1A40" w:rsidRPr="006E1A40" w:rsidRDefault="00670114" w:rsidP="006E1A40">
            <w:pPr>
              <w:jc w:val="right"/>
              <w:rPr>
                <w:b/>
                <w:sz w:val="22"/>
                <w:szCs w:val="22"/>
              </w:rPr>
            </w:pPr>
            <w:r w:rsidRPr="00670114">
              <w:rPr>
                <w:b/>
                <w:sz w:val="22"/>
                <w:szCs w:val="22"/>
              </w:rPr>
              <w:t xml:space="preserve">-100BPS </w:t>
            </w:r>
          </w:p>
        </w:tc>
      </w:tr>
      <w:tr w:rsidR="006E1A40" w:rsidRPr="006E1A40" w:rsidTr="00C343B4">
        <w:trPr>
          <w:gridAfter w:val="1"/>
          <w:wAfter w:w="283" w:type="dxa"/>
        </w:trPr>
        <w:tc>
          <w:tcPr>
            <w:tcW w:w="3641" w:type="dxa"/>
          </w:tcPr>
          <w:p w:rsidR="006E1A40" w:rsidRPr="006E1A40" w:rsidRDefault="006E1A40" w:rsidP="006E1A40">
            <w:pPr>
              <w:rPr>
                <w:b/>
                <w:sz w:val="22"/>
                <w:szCs w:val="22"/>
              </w:rPr>
            </w:pPr>
          </w:p>
        </w:tc>
        <w:tc>
          <w:tcPr>
            <w:tcW w:w="2410" w:type="dxa"/>
          </w:tcPr>
          <w:p w:rsidR="006E1A40" w:rsidRPr="006E1A40" w:rsidRDefault="00670114" w:rsidP="006E1A40">
            <w:pPr>
              <w:jc w:val="right"/>
              <w:rPr>
                <w:b/>
                <w:sz w:val="22"/>
                <w:szCs w:val="22"/>
              </w:rPr>
            </w:pPr>
            <w:r w:rsidRPr="00670114">
              <w:rPr>
                <w:b/>
                <w:sz w:val="22"/>
                <w:szCs w:val="22"/>
              </w:rPr>
              <w:t>£m</w:t>
            </w:r>
          </w:p>
        </w:tc>
        <w:tc>
          <w:tcPr>
            <w:tcW w:w="2126" w:type="dxa"/>
            <w:gridSpan w:val="2"/>
          </w:tcPr>
          <w:p w:rsidR="006E1A40" w:rsidRPr="006E1A40" w:rsidRDefault="00670114" w:rsidP="006E1A40">
            <w:pPr>
              <w:jc w:val="right"/>
              <w:rPr>
                <w:b/>
                <w:sz w:val="22"/>
                <w:szCs w:val="22"/>
              </w:rPr>
            </w:pPr>
            <w:r w:rsidRPr="00670114">
              <w:rPr>
                <w:b/>
                <w:sz w:val="22"/>
                <w:szCs w:val="22"/>
              </w:rPr>
              <w:t>£m</w:t>
            </w:r>
          </w:p>
        </w:tc>
        <w:tc>
          <w:tcPr>
            <w:tcW w:w="1701" w:type="dxa"/>
          </w:tcPr>
          <w:p w:rsidR="006E1A40" w:rsidRPr="006E1A40" w:rsidRDefault="00670114" w:rsidP="006E1A40">
            <w:pPr>
              <w:jc w:val="right"/>
              <w:rPr>
                <w:b/>
                <w:sz w:val="22"/>
                <w:szCs w:val="22"/>
              </w:rPr>
            </w:pPr>
            <w:r w:rsidRPr="00670114">
              <w:rPr>
                <w:b/>
                <w:sz w:val="22"/>
                <w:szCs w:val="22"/>
              </w:rPr>
              <w:t>£m</w:t>
            </w:r>
          </w:p>
        </w:tc>
      </w:tr>
      <w:tr w:rsidR="006E1A40" w:rsidRPr="006E1A40" w:rsidTr="00C343B4">
        <w:trPr>
          <w:gridAfter w:val="1"/>
          <w:wAfter w:w="283" w:type="dxa"/>
        </w:trPr>
        <w:tc>
          <w:tcPr>
            <w:tcW w:w="3641" w:type="dxa"/>
          </w:tcPr>
          <w:p w:rsidR="006E1A40" w:rsidRPr="006E1A40" w:rsidRDefault="006E1A40" w:rsidP="006E1A40">
            <w:pPr>
              <w:rPr>
                <w:sz w:val="22"/>
                <w:szCs w:val="22"/>
              </w:rPr>
            </w:pPr>
          </w:p>
        </w:tc>
        <w:tc>
          <w:tcPr>
            <w:tcW w:w="2410" w:type="dxa"/>
          </w:tcPr>
          <w:p w:rsidR="006E1A40" w:rsidRPr="006E1A40" w:rsidRDefault="006E1A40" w:rsidP="006E1A40">
            <w:pPr>
              <w:rPr>
                <w:sz w:val="22"/>
                <w:szCs w:val="22"/>
              </w:rPr>
            </w:pPr>
          </w:p>
        </w:tc>
        <w:tc>
          <w:tcPr>
            <w:tcW w:w="2126" w:type="dxa"/>
            <w:gridSpan w:val="2"/>
          </w:tcPr>
          <w:p w:rsidR="006E1A40" w:rsidRPr="006E1A40" w:rsidRDefault="006E1A40" w:rsidP="006E1A40">
            <w:pPr>
              <w:rPr>
                <w:sz w:val="22"/>
                <w:szCs w:val="22"/>
              </w:rPr>
            </w:pPr>
          </w:p>
        </w:tc>
        <w:tc>
          <w:tcPr>
            <w:tcW w:w="1701" w:type="dxa"/>
          </w:tcPr>
          <w:p w:rsidR="006E1A40" w:rsidRPr="006E1A40" w:rsidRDefault="006E1A40" w:rsidP="006E1A40">
            <w:pPr>
              <w:rPr>
                <w:sz w:val="22"/>
                <w:szCs w:val="22"/>
              </w:rPr>
            </w:pPr>
          </w:p>
        </w:tc>
      </w:tr>
      <w:tr w:rsidR="006E1A40" w:rsidRPr="006E1A40" w:rsidTr="00C343B4">
        <w:trPr>
          <w:gridAfter w:val="1"/>
          <w:wAfter w:w="283" w:type="dxa"/>
        </w:trPr>
        <w:tc>
          <w:tcPr>
            <w:tcW w:w="3641" w:type="dxa"/>
          </w:tcPr>
          <w:p w:rsidR="006E1A40" w:rsidRPr="006E1A40" w:rsidRDefault="00670114" w:rsidP="006E1A40">
            <w:pPr>
              <w:rPr>
                <w:sz w:val="22"/>
                <w:szCs w:val="22"/>
              </w:rPr>
            </w:pPr>
            <w:r w:rsidRPr="00670114">
              <w:rPr>
                <w:sz w:val="22"/>
                <w:szCs w:val="22"/>
              </w:rPr>
              <w:t>Cash and cash equivalents</w:t>
            </w:r>
          </w:p>
        </w:tc>
        <w:tc>
          <w:tcPr>
            <w:tcW w:w="2410" w:type="dxa"/>
          </w:tcPr>
          <w:p w:rsidR="006E1A40" w:rsidRPr="006E1A40" w:rsidRDefault="00670114" w:rsidP="006E1A40">
            <w:pPr>
              <w:jc w:val="right"/>
              <w:rPr>
                <w:sz w:val="22"/>
                <w:szCs w:val="22"/>
              </w:rPr>
            </w:pPr>
            <w:r w:rsidRPr="00670114">
              <w:rPr>
                <w:sz w:val="22"/>
                <w:szCs w:val="22"/>
              </w:rPr>
              <w:t>126.8</w:t>
            </w:r>
          </w:p>
        </w:tc>
        <w:tc>
          <w:tcPr>
            <w:tcW w:w="2126" w:type="dxa"/>
            <w:gridSpan w:val="2"/>
          </w:tcPr>
          <w:p w:rsidR="006E1A40" w:rsidRPr="006E1A40" w:rsidRDefault="00670114" w:rsidP="006E1A40">
            <w:pPr>
              <w:jc w:val="right"/>
              <w:rPr>
                <w:sz w:val="22"/>
                <w:szCs w:val="22"/>
              </w:rPr>
            </w:pPr>
            <w:r w:rsidRPr="00670114">
              <w:rPr>
                <w:sz w:val="22"/>
                <w:szCs w:val="22"/>
              </w:rPr>
              <w:t>1.3</w:t>
            </w:r>
          </w:p>
        </w:tc>
        <w:tc>
          <w:tcPr>
            <w:tcW w:w="1701" w:type="dxa"/>
          </w:tcPr>
          <w:p w:rsidR="006E1A40" w:rsidRPr="006E1A40" w:rsidRDefault="00670114" w:rsidP="006E1A40">
            <w:pPr>
              <w:jc w:val="right"/>
              <w:rPr>
                <w:sz w:val="22"/>
                <w:szCs w:val="22"/>
              </w:rPr>
            </w:pPr>
            <w:r w:rsidRPr="00670114">
              <w:rPr>
                <w:sz w:val="22"/>
                <w:szCs w:val="22"/>
              </w:rPr>
              <w:t>(1.3)</w:t>
            </w:r>
          </w:p>
        </w:tc>
      </w:tr>
      <w:tr w:rsidR="006E1A40" w:rsidRPr="006E1A40" w:rsidTr="00C343B4">
        <w:trPr>
          <w:gridAfter w:val="1"/>
          <w:wAfter w:w="283" w:type="dxa"/>
        </w:trPr>
        <w:tc>
          <w:tcPr>
            <w:tcW w:w="3641" w:type="dxa"/>
          </w:tcPr>
          <w:p w:rsidR="006E1A40" w:rsidRPr="006E1A40" w:rsidRDefault="00670114" w:rsidP="006E1A40">
            <w:pPr>
              <w:rPr>
                <w:sz w:val="22"/>
                <w:szCs w:val="22"/>
              </w:rPr>
            </w:pPr>
            <w:r w:rsidRPr="00670114">
              <w:rPr>
                <w:sz w:val="22"/>
                <w:szCs w:val="22"/>
              </w:rPr>
              <w:t xml:space="preserve">Fixed interest securities </w:t>
            </w:r>
          </w:p>
        </w:tc>
        <w:tc>
          <w:tcPr>
            <w:tcW w:w="2410" w:type="dxa"/>
          </w:tcPr>
          <w:p w:rsidR="006E1A40" w:rsidRPr="006E1A40" w:rsidRDefault="00670114" w:rsidP="006E1A40">
            <w:pPr>
              <w:jc w:val="right"/>
              <w:rPr>
                <w:sz w:val="22"/>
                <w:szCs w:val="22"/>
              </w:rPr>
            </w:pPr>
            <w:r w:rsidRPr="00670114">
              <w:rPr>
                <w:sz w:val="22"/>
                <w:szCs w:val="22"/>
              </w:rPr>
              <w:t>815.6</w:t>
            </w:r>
          </w:p>
        </w:tc>
        <w:tc>
          <w:tcPr>
            <w:tcW w:w="2126" w:type="dxa"/>
            <w:gridSpan w:val="2"/>
          </w:tcPr>
          <w:p w:rsidR="006E1A40" w:rsidRPr="006E1A40" w:rsidRDefault="00670114" w:rsidP="006E1A40">
            <w:pPr>
              <w:jc w:val="right"/>
              <w:rPr>
                <w:sz w:val="22"/>
                <w:szCs w:val="22"/>
              </w:rPr>
            </w:pPr>
            <w:r w:rsidRPr="00670114">
              <w:rPr>
                <w:sz w:val="22"/>
                <w:szCs w:val="22"/>
              </w:rPr>
              <w:t>8.1</w:t>
            </w:r>
          </w:p>
        </w:tc>
        <w:tc>
          <w:tcPr>
            <w:tcW w:w="1701" w:type="dxa"/>
          </w:tcPr>
          <w:p w:rsidR="006E1A40" w:rsidRPr="006E1A40" w:rsidRDefault="00670114" w:rsidP="006E1A40">
            <w:pPr>
              <w:jc w:val="right"/>
              <w:rPr>
                <w:sz w:val="22"/>
                <w:szCs w:val="22"/>
              </w:rPr>
            </w:pPr>
            <w:r w:rsidRPr="00670114">
              <w:rPr>
                <w:sz w:val="22"/>
                <w:szCs w:val="22"/>
              </w:rPr>
              <w:t>(8.1)</w:t>
            </w:r>
          </w:p>
        </w:tc>
      </w:tr>
      <w:tr w:rsidR="006E1A40" w:rsidRPr="006E1A40" w:rsidTr="00C343B4">
        <w:trPr>
          <w:gridAfter w:val="1"/>
          <w:wAfter w:w="283" w:type="dxa"/>
        </w:trPr>
        <w:tc>
          <w:tcPr>
            <w:tcW w:w="3641" w:type="dxa"/>
          </w:tcPr>
          <w:p w:rsidR="006E1A40" w:rsidRPr="006E1A40" w:rsidRDefault="00670114" w:rsidP="006E1A40">
            <w:pPr>
              <w:rPr>
                <w:b/>
                <w:sz w:val="22"/>
                <w:szCs w:val="22"/>
              </w:rPr>
            </w:pPr>
            <w:r w:rsidRPr="00670114">
              <w:rPr>
                <w:b/>
                <w:sz w:val="22"/>
                <w:szCs w:val="22"/>
              </w:rPr>
              <w:t xml:space="preserve">Total change in asset available </w:t>
            </w:r>
          </w:p>
        </w:tc>
        <w:tc>
          <w:tcPr>
            <w:tcW w:w="2410" w:type="dxa"/>
          </w:tcPr>
          <w:p w:rsidR="006E1A40" w:rsidRPr="006E1A40" w:rsidRDefault="00670114" w:rsidP="006E1A40">
            <w:pPr>
              <w:shd w:val="pct10" w:color="auto" w:fill="auto"/>
              <w:ind w:left="2880" w:right="3123"/>
              <w:jc w:val="right"/>
              <w:rPr>
                <w:b/>
                <w:sz w:val="22"/>
                <w:szCs w:val="22"/>
              </w:rPr>
            </w:pPr>
            <w:r w:rsidRPr="00670114">
              <w:rPr>
                <w:b/>
                <w:sz w:val="22"/>
                <w:szCs w:val="22"/>
              </w:rPr>
              <w:t>942</w:t>
            </w:r>
            <w:r w:rsidRPr="00670114">
              <w:rPr>
                <w:b/>
                <w:sz w:val="22"/>
                <w:szCs w:val="22"/>
              </w:rPr>
              <w:lastRenderedPageBreak/>
              <w:t>.4</w:t>
            </w:r>
          </w:p>
        </w:tc>
        <w:tc>
          <w:tcPr>
            <w:tcW w:w="2126" w:type="dxa"/>
            <w:gridSpan w:val="2"/>
          </w:tcPr>
          <w:p w:rsidR="006E1A40" w:rsidRPr="006E1A40" w:rsidRDefault="00670114" w:rsidP="006E1A40">
            <w:pPr>
              <w:shd w:val="pct10" w:color="auto" w:fill="auto"/>
              <w:ind w:left="2880" w:right="3123"/>
              <w:jc w:val="right"/>
              <w:rPr>
                <w:b/>
                <w:sz w:val="22"/>
                <w:szCs w:val="22"/>
              </w:rPr>
            </w:pPr>
            <w:r w:rsidRPr="00670114">
              <w:rPr>
                <w:b/>
                <w:sz w:val="22"/>
                <w:szCs w:val="22"/>
              </w:rPr>
              <w:lastRenderedPageBreak/>
              <w:t>9.4</w:t>
            </w:r>
          </w:p>
        </w:tc>
        <w:tc>
          <w:tcPr>
            <w:tcW w:w="1701" w:type="dxa"/>
          </w:tcPr>
          <w:p w:rsidR="006E1A40" w:rsidRPr="006E1A40" w:rsidRDefault="00670114" w:rsidP="006E1A40">
            <w:pPr>
              <w:shd w:val="pct10" w:color="auto" w:fill="auto"/>
              <w:ind w:left="2880" w:right="3123"/>
              <w:jc w:val="right"/>
              <w:rPr>
                <w:b/>
                <w:sz w:val="22"/>
                <w:szCs w:val="22"/>
              </w:rPr>
            </w:pPr>
            <w:r w:rsidRPr="00670114">
              <w:rPr>
                <w:b/>
                <w:sz w:val="22"/>
                <w:szCs w:val="22"/>
              </w:rPr>
              <w:t>(9.</w:t>
            </w:r>
            <w:r w:rsidRPr="00670114">
              <w:rPr>
                <w:b/>
                <w:sz w:val="22"/>
                <w:szCs w:val="22"/>
              </w:rPr>
              <w:lastRenderedPageBreak/>
              <w:t>4)</w:t>
            </w:r>
          </w:p>
        </w:tc>
      </w:tr>
    </w:tbl>
    <w:p w:rsidR="006E1A40" w:rsidRDefault="006E1A40" w:rsidP="006E1A40">
      <w:pPr>
        <w:ind w:left="720"/>
      </w:pPr>
    </w:p>
    <w:p w:rsidR="006E1A40" w:rsidRPr="00432510" w:rsidRDefault="006E1A40" w:rsidP="006E1A40">
      <w:pPr>
        <w:ind w:left="720"/>
        <w:rPr>
          <w:b/>
        </w:rPr>
      </w:pPr>
      <w:r w:rsidRPr="00432510">
        <w:rPr>
          <w:b/>
        </w:rPr>
        <w:t>Currency risk</w:t>
      </w:r>
    </w:p>
    <w:p w:rsidR="006E1A40" w:rsidRDefault="006E1A40" w:rsidP="006E1A40">
      <w:pPr>
        <w:ind w:left="720"/>
      </w:pPr>
    </w:p>
    <w:p w:rsidR="006E1A40" w:rsidRDefault="006E1A40" w:rsidP="006E1A40">
      <w:pPr>
        <w:ind w:left="720"/>
      </w:pPr>
      <w: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6E1A40" w:rsidRDefault="006E1A40" w:rsidP="006E1A40">
      <w:pPr>
        <w:ind w:left="720"/>
      </w:pPr>
    </w:p>
    <w:p w:rsidR="006E1A40" w:rsidRDefault="006E1A40" w:rsidP="006E1A40">
      <w:pPr>
        <w:ind w:left="720"/>
      </w:pPr>
      <w:r>
        <w:t xml:space="preserve">The Fund's currency rate risk is routinely monitored by the Fund and its investment advisors in accordance with the Fund's risk management strategy. </w:t>
      </w:r>
    </w:p>
    <w:p w:rsidR="006E1A40" w:rsidRDefault="006E1A40" w:rsidP="006E1A40">
      <w:pPr>
        <w:ind w:left="720"/>
      </w:pPr>
    </w:p>
    <w:p w:rsidR="006E1A40" w:rsidRDefault="006E1A40" w:rsidP="006E1A40">
      <w:pPr>
        <w:ind w:left="720"/>
      </w:pPr>
      <w:r>
        <w:t xml:space="preserve">The following table summarises the Fund's currency exposure as at 31 March 2013 and as at the previous year end:    </w:t>
      </w:r>
    </w:p>
    <w:p w:rsidR="006E1A40" w:rsidRDefault="006E1A40" w:rsidP="006E1A40">
      <w:pPr>
        <w:ind w:left="720"/>
      </w:pPr>
    </w:p>
    <w:p w:rsidR="006E1A40" w:rsidRDefault="006E1A40" w:rsidP="006E1A40">
      <w:pPr>
        <w:ind w:left="720"/>
      </w:pPr>
    </w:p>
    <w:tbl>
      <w:tblPr>
        <w:tblStyle w:val="TableGrid"/>
        <w:tblW w:w="0" w:type="auto"/>
        <w:tblInd w:w="720" w:type="dxa"/>
        <w:tblBorders>
          <w:left w:val="none" w:sz="0" w:space="0" w:color="auto"/>
          <w:right w:val="none" w:sz="0" w:space="0" w:color="auto"/>
          <w:insideV w:val="none" w:sz="0" w:space="0" w:color="auto"/>
        </w:tblBorders>
        <w:tblLook w:val="04A0"/>
      </w:tblPr>
      <w:tblGrid>
        <w:gridCol w:w="5200"/>
        <w:gridCol w:w="2126"/>
        <w:gridCol w:w="2410"/>
      </w:tblGrid>
      <w:tr w:rsidR="006E1A40" w:rsidTr="00C343B4">
        <w:tc>
          <w:tcPr>
            <w:tcW w:w="5200" w:type="dxa"/>
          </w:tcPr>
          <w:p w:rsidR="006E1A40" w:rsidRPr="006E1A40" w:rsidRDefault="00670114" w:rsidP="006E1A40">
            <w:pPr>
              <w:rPr>
                <w:b/>
                <w:sz w:val="22"/>
                <w:szCs w:val="22"/>
              </w:rPr>
            </w:pPr>
            <w:r w:rsidRPr="00670114">
              <w:rPr>
                <w:b/>
                <w:sz w:val="22"/>
                <w:szCs w:val="22"/>
              </w:rPr>
              <w:t xml:space="preserve">Currency exposure – asset type </w:t>
            </w:r>
          </w:p>
        </w:tc>
        <w:tc>
          <w:tcPr>
            <w:tcW w:w="2126" w:type="dxa"/>
          </w:tcPr>
          <w:p w:rsidR="006E1A40" w:rsidRPr="006E1A40" w:rsidRDefault="00670114" w:rsidP="006E1A40">
            <w:pPr>
              <w:jc w:val="right"/>
              <w:rPr>
                <w:b/>
                <w:sz w:val="22"/>
                <w:szCs w:val="22"/>
              </w:rPr>
            </w:pPr>
            <w:r w:rsidRPr="00670114">
              <w:rPr>
                <w:b/>
                <w:sz w:val="22"/>
                <w:szCs w:val="22"/>
              </w:rPr>
              <w:t xml:space="preserve">Asset value as at </w:t>
            </w:r>
          </w:p>
          <w:p w:rsidR="006E1A40" w:rsidRPr="006E1A40" w:rsidRDefault="00670114" w:rsidP="006E1A40">
            <w:pPr>
              <w:jc w:val="right"/>
              <w:rPr>
                <w:b/>
                <w:sz w:val="22"/>
                <w:szCs w:val="22"/>
              </w:rPr>
            </w:pPr>
            <w:r w:rsidRPr="00670114">
              <w:rPr>
                <w:b/>
                <w:sz w:val="22"/>
                <w:szCs w:val="22"/>
              </w:rPr>
              <w:t>31 March 2013</w:t>
            </w:r>
          </w:p>
        </w:tc>
        <w:tc>
          <w:tcPr>
            <w:tcW w:w="2410" w:type="dxa"/>
          </w:tcPr>
          <w:p w:rsidR="006E1A40" w:rsidRPr="006E1A40" w:rsidRDefault="00670114" w:rsidP="006E1A40">
            <w:pPr>
              <w:jc w:val="right"/>
              <w:rPr>
                <w:b/>
                <w:sz w:val="22"/>
                <w:szCs w:val="22"/>
              </w:rPr>
            </w:pPr>
            <w:r w:rsidRPr="00670114">
              <w:rPr>
                <w:b/>
                <w:sz w:val="22"/>
                <w:szCs w:val="22"/>
              </w:rPr>
              <w:t xml:space="preserve">Asset value as at </w:t>
            </w:r>
          </w:p>
          <w:p w:rsidR="006E1A40" w:rsidRPr="006E1A40" w:rsidRDefault="00670114" w:rsidP="006E1A40">
            <w:pPr>
              <w:jc w:val="right"/>
              <w:rPr>
                <w:b/>
                <w:sz w:val="22"/>
                <w:szCs w:val="22"/>
              </w:rPr>
            </w:pPr>
            <w:r w:rsidRPr="00670114">
              <w:rPr>
                <w:b/>
                <w:sz w:val="22"/>
                <w:szCs w:val="22"/>
              </w:rPr>
              <w:t>31 March 2012</w:t>
            </w:r>
          </w:p>
        </w:tc>
      </w:tr>
      <w:tr w:rsidR="006E1A40" w:rsidTr="00C343B4">
        <w:tc>
          <w:tcPr>
            <w:tcW w:w="5200" w:type="dxa"/>
          </w:tcPr>
          <w:p w:rsidR="006E1A40" w:rsidRPr="006E1A40" w:rsidRDefault="006E1A40" w:rsidP="006E1A40">
            <w:pPr>
              <w:rPr>
                <w:sz w:val="22"/>
                <w:szCs w:val="22"/>
              </w:rPr>
            </w:pPr>
          </w:p>
        </w:tc>
        <w:tc>
          <w:tcPr>
            <w:tcW w:w="2126" w:type="dxa"/>
          </w:tcPr>
          <w:p w:rsidR="006E1A40" w:rsidRPr="006E1A40" w:rsidRDefault="00670114" w:rsidP="006E1A40">
            <w:pPr>
              <w:jc w:val="right"/>
              <w:rPr>
                <w:b/>
                <w:sz w:val="22"/>
                <w:szCs w:val="22"/>
              </w:rPr>
            </w:pPr>
            <w:r w:rsidRPr="00670114">
              <w:rPr>
                <w:b/>
                <w:sz w:val="22"/>
                <w:szCs w:val="22"/>
              </w:rPr>
              <w:t>£m</w:t>
            </w:r>
          </w:p>
        </w:tc>
        <w:tc>
          <w:tcPr>
            <w:tcW w:w="2410" w:type="dxa"/>
          </w:tcPr>
          <w:p w:rsidR="006E1A40" w:rsidRPr="006E1A40" w:rsidRDefault="00670114" w:rsidP="006E1A40">
            <w:pPr>
              <w:ind w:left="1038"/>
              <w:jc w:val="right"/>
              <w:rPr>
                <w:b/>
                <w:sz w:val="22"/>
                <w:szCs w:val="22"/>
              </w:rPr>
            </w:pPr>
            <w:r w:rsidRPr="00670114">
              <w:rPr>
                <w:b/>
                <w:sz w:val="22"/>
                <w:szCs w:val="22"/>
              </w:rPr>
              <w:t>£m</w:t>
            </w:r>
          </w:p>
        </w:tc>
      </w:tr>
      <w:tr w:rsidR="006E1A40" w:rsidTr="00C343B4">
        <w:tc>
          <w:tcPr>
            <w:tcW w:w="5200" w:type="dxa"/>
          </w:tcPr>
          <w:p w:rsidR="006E1A40" w:rsidRPr="006E1A40" w:rsidRDefault="00670114" w:rsidP="006E1A40">
            <w:pPr>
              <w:rPr>
                <w:sz w:val="22"/>
                <w:szCs w:val="22"/>
              </w:rPr>
            </w:pPr>
            <w:r w:rsidRPr="00670114">
              <w:rPr>
                <w:sz w:val="22"/>
                <w:szCs w:val="22"/>
              </w:rPr>
              <w:t>Overseas  Equities</w:t>
            </w:r>
          </w:p>
        </w:tc>
        <w:tc>
          <w:tcPr>
            <w:tcW w:w="2126" w:type="dxa"/>
          </w:tcPr>
          <w:p w:rsidR="006E1A40" w:rsidRPr="006E1A40" w:rsidRDefault="00670114" w:rsidP="006E1A40">
            <w:pPr>
              <w:jc w:val="right"/>
              <w:rPr>
                <w:sz w:val="22"/>
                <w:szCs w:val="22"/>
              </w:rPr>
            </w:pPr>
            <w:r w:rsidRPr="00670114">
              <w:rPr>
                <w:sz w:val="22"/>
                <w:szCs w:val="22"/>
              </w:rPr>
              <w:t>1,531.0</w:t>
            </w:r>
          </w:p>
        </w:tc>
        <w:tc>
          <w:tcPr>
            <w:tcW w:w="2410" w:type="dxa"/>
          </w:tcPr>
          <w:p w:rsidR="006E1A40" w:rsidRPr="006E1A40" w:rsidRDefault="00670114" w:rsidP="006E1A40">
            <w:pPr>
              <w:jc w:val="right"/>
              <w:rPr>
                <w:sz w:val="22"/>
                <w:szCs w:val="22"/>
              </w:rPr>
            </w:pPr>
            <w:r w:rsidRPr="00670114">
              <w:rPr>
                <w:sz w:val="22"/>
                <w:szCs w:val="22"/>
              </w:rPr>
              <w:t>1,236.9</w:t>
            </w:r>
          </w:p>
        </w:tc>
      </w:tr>
      <w:tr w:rsidR="006E1A40" w:rsidTr="00C343B4">
        <w:tc>
          <w:tcPr>
            <w:tcW w:w="5200" w:type="dxa"/>
          </w:tcPr>
          <w:p w:rsidR="006E1A40" w:rsidRPr="006E1A40" w:rsidRDefault="00670114" w:rsidP="006E1A40">
            <w:pPr>
              <w:rPr>
                <w:sz w:val="22"/>
                <w:szCs w:val="22"/>
              </w:rPr>
            </w:pPr>
            <w:r w:rsidRPr="00670114">
              <w:rPr>
                <w:sz w:val="22"/>
                <w:szCs w:val="22"/>
              </w:rPr>
              <w:t>Overseas Bonds</w:t>
            </w:r>
          </w:p>
        </w:tc>
        <w:tc>
          <w:tcPr>
            <w:tcW w:w="2126" w:type="dxa"/>
          </w:tcPr>
          <w:p w:rsidR="006E1A40" w:rsidRPr="006E1A40" w:rsidRDefault="00670114" w:rsidP="006E1A40">
            <w:pPr>
              <w:jc w:val="right"/>
              <w:rPr>
                <w:sz w:val="22"/>
                <w:szCs w:val="22"/>
              </w:rPr>
            </w:pPr>
            <w:r w:rsidRPr="00670114">
              <w:rPr>
                <w:sz w:val="22"/>
                <w:szCs w:val="22"/>
              </w:rPr>
              <w:t>323.7</w:t>
            </w:r>
          </w:p>
        </w:tc>
        <w:tc>
          <w:tcPr>
            <w:tcW w:w="2410" w:type="dxa"/>
          </w:tcPr>
          <w:p w:rsidR="006E1A40" w:rsidRPr="006E1A40" w:rsidRDefault="00670114" w:rsidP="006E1A40">
            <w:pPr>
              <w:jc w:val="right"/>
              <w:rPr>
                <w:sz w:val="22"/>
                <w:szCs w:val="22"/>
              </w:rPr>
            </w:pPr>
            <w:r w:rsidRPr="00670114">
              <w:rPr>
                <w:sz w:val="22"/>
                <w:szCs w:val="22"/>
              </w:rPr>
              <w:t>100.0</w:t>
            </w:r>
          </w:p>
        </w:tc>
      </w:tr>
      <w:tr w:rsidR="006E1A40" w:rsidTr="00C343B4">
        <w:tc>
          <w:tcPr>
            <w:tcW w:w="5200" w:type="dxa"/>
          </w:tcPr>
          <w:p w:rsidR="006E1A40" w:rsidRPr="006E1A40" w:rsidRDefault="00670114" w:rsidP="006E1A40">
            <w:pPr>
              <w:rPr>
                <w:sz w:val="22"/>
                <w:szCs w:val="22"/>
              </w:rPr>
            </w:pPr>
            <w:r w:rsidRPr="00670114">
              <w:rPr>
                <w:sz w:val="22"/>
                <w:szCs w:val="22"/>
              </w:rPr>
              <w:t>Overseas  Alternatives</w:t>
            </w:r>
          </w:p>
        </w:tc>
        <w:tc>
          <w:tcPr>
            <w:tcW w:w="2126" w:type="dxa"/>
          </w:tcPr>
          <w:p w:rsidR="006E1A40" w:rsidRPr="006E1A40" w:rsidRDefault="00670114" w:rsidP="006E1A40">
            <w:pPr>
              <w:jc w:val="right"/>
              <w:rPr>
                <w:sz w:val="22"/>
                <w:szCs w:val="22"/>
              </w:rPr>
            </w:pPr>
            <w:r w:rsidRPr="00670114">
              <w:rPr>
                <w:sz w:val="22"/>
                <w:szCs w:val="22"/>
              </w:rPr>
              <w:t>164.7</w:t>
            </w:r>
          </w:p>
        </w:tc>
        <w:tc>
          <w:tcPr>
            <w:tcW w:w="2410" w:type="dxa"/>
          </w:tcPr>
          <w:p w:rsidR="006E1A40" w:rsidRPr="006E1A40" w:rsidRDefault="00670114" w:rsidP="006E1A40">
            <w:pPr>
              <w:jc w:val="right"/>
              <w:rPr>
                <w:sz w:val="22"/>
                <w:szCs w:val="22"/>
              </w:rPr>
            </w:pPr>
            <w:r w:rsidRPr="00670114">
              <w:rPr>
                <w:sz w:val="22"/>
                <w:szCs w:val="22"/>
              </w:rPr>
              <w:t>187.9</w:t>
            </w:r>
          </w:p>
        </w:tc>
      </w:tr>
      <w:tr w:rsidR="006E1A40" w:rsidTr="00C343B4">
        <w:tc>
          <w:tcPr>
            <w:tcW w:w="5200" w:type="dxa"/>
          </w:tcPr>
          <w:p w:rsidR="006E1A40" w:rsidRPr="006E1A40" w:rsidRDefault="00670114" w:rsidP="006E1A40">
            <w:pPr>
              <w:rPr>
                <w:sz w:val="22"/>
                <w:szCs w:val="22"/>
              </w:rPr>
            </w:pPr>
            <w:r w:rsidRPr="00670114">
              <w:rPr>
                <w:sz w:val="22"/>
                <w:szCs w:val="22"/>
              </w:rPr>
              <w:t>Overseas Pooled</w:t>
            </w:r>
          </w:p>
        </w:tc>
        <w:tc>
          <w:tcPr>
            <w:tcW w:w="2126" w:type="dxa"/>
          </w:tcPr>
          <w:p w:rsidR="006E1A40" w:rsidRPr="006E1A40" w:rsidRDefault="00670114" w:rsidP="006E1A40">
            <w:pPr>
              <w:jc w:val="right"/>
              <w:rPr>
                <w:sz w:val="22"/>
                <w:szCs w:val="22"/>
              </w:rPr>
            </w:pPr>
            <w:r w:rsidRPr="00670114">
              <w:rPr>
                <w:sz w:val="22"/>
                <w:szCs w:val="22"/>
              </w:rPr>
              <w:t>1,051.7</w:t>
            </w:r>
          </w:p>
        </w:tc>
        <w:tc>
          <w:tcPr>
            <w:tcW w:w="2410" w:type="dxa"/>
          </w:tcPr>
          <w:p w:rsidR="006E1A40" w:rsidRPr="006E1A40" w:rsidRDefault="00670114" w:rsidP="006E1A40">
            <w:pPr>
              <w:jc w:val="right"/>
              <w:rPr>
                <w:sz w:val="22"/>
                <w:szCs w:val="22"/>
              </w:rPr>
            </w:pPr>
            <w:r w:rsidRPr="00670114">
              <w:rPr>
                <w:sz w:val="22"/>
                <w:szCs w:val="22"/>
              </w:rPr>
              <w:t>449.6</w:t>
            </w:r>
          </w:p>
        </w:tc>
      </w:tr>
      <w:tr w:rsidR="006E1A40" w:rsidTr="00C343B4">
        <w:tc>
          <w:tcPr>
            <w:tcW w:w="5200" w:type="dxa"/>
          </w:tcPr>
          <w:p w:rsidR="006E1A40" w:rsidRPr="006E1A40" w:rsidRDefault="00670114" w:rsidP="006E1A40">
            <w:pPr>
              <w:rPr>
                <w:b/>
                <w:sz w:val="22"/>
                <w:szCs w:val="22"/>
              </w:rPr>
            </w:pPr>
            <w:r w:rsidRPr="00670114">
              <w:rPr>
                <w:b/>
                <w:sz w:val="22"/>
                <w:szCs w:val="22"/>
              </w:rPr>
              <w:t xml:space="preserve">Total overseas assets </w:t>
            </w:r>
          </w:p>
        </w:tc>
        <w:tc>
          <w:tcPr>
            <w:tcW w:w="2126" w:type="dxa"/>
          </w:tcPr>
          <w:p w:rsidR="006E1A40" w:rsidRPr="006E1A40" w:rsidRDefault="00670114" w:rsidP="006E1A40">
            <w:pPr>
              <w:jc w:val="right"/>
              <w:rPr>
                <w:b/>
                <w:sz w:val="22"/>
                <w:szCs w:val="22"/>
              </w:rPr>
            </w:pPr>
            <w:r w:rsidRPr="00670114">
              <w:rPr>
                <w:b/>
                <w:sz w:val="22"/>
                <w:szCs w:val="22"/>
              </w:rPr>
              <w:t>3,071.1</w:t>
            </w:r>
          </w:p>
        </w:tc>
        <w:tc>
          <w:tcPr>
            <w:tcW w:w="2410" w:type="dxa"/>
          </w:tcPr>
          <w:p w:rsidR="006E1A40" w:rsidRPr="006E1A40" w:rsidRDefault="00670114" w:rsidP="006E1A40">
            <w:pPr>
              <w:jc w:val="right"/>
              <w:rPr>
                <w:b/>
                <w:sz w:val="22"/>
                <w:szCs w:val="22"/>
              </w:rPr>
            </w:pPr>
            <w:r w:rsidRPr="00670114">
              <w:rPr>
                <w:b/>
                <w:sz w:val="22"/>
                <w:szCs w:val="22"/>
              </w:rPr>
              <w:t>1,974.4</w:t>
            </w:r>
          </w:p>
        </w:tc>
      </w:tr>
    </w:tbl>
    <w:p w:rsidR="006E1A40" w:rsidRDefault="006E1A40" w:rsidP="006E1A40">
      <w:pPr>
        <w:ind w:left="720"/>
      </w:pPr>
    </w:p>
    <w:p w:rsidR="006E1A40" w:rsidRPr="00DD0EE9" w:rsidRDefault="006E1A40" w:rsidP="006E1A40">
      <w:pPr>
        <w:ind w:left="720"/>
        <w:rPr>
          <w:b/>
        </w:rPr>
      </w:pPr>
      <w:r w:rsidRPr="00B12F4C">
        <w:rPr>
          <w:b/>
        </w:rPr>
        <w:t>Currency risk – sensitivities analysis</w:t>
      </w:r>
      <w:r w:rsidRPr="00DD0EE9">
        <w:rPr>
          <w:b/>
        </w:rPr>
        <w:t xml:space="preserve"> </w:t>
      </w:r>
    </w:p>
    <w:p w:rsidR="006E1A40" w:rsidRDefault="006E1A40" w:rsidP="006E1A40">
      <w:pPr>
        <w:ind w:left="720"/>
      </w:pPr>
    </w:p>
    <w:p w:rsidR="006E1A40" w:rsidRDefault="006E1A40" w:rsidP="006E1A40">
      <w:pPr>
        <w:ind w:left="720"/>
      </w:pPr>
      <w:r>
        <w:t xml:space="preserve">Following analysis of historical data in consultation with the Fund's investment advisors, the Fund considers the likely volatility associated with foreign exchange rate movement to be </w:t>
      </w:r>
      <w:r w:rsidRPr="00B12F4C">
        <w:t>6.1</w:t>
      </w:r>
      <w:r>
        <w:t xml:space="preserve">% (as measured by one standard deviation). </w:t>
      </w:r>
    </w:p>
    <w:p w:rsidR="006E1A40" w:rsidRDefault="006E1A40" w:rsidP="006E1A40">
      <w:pPr>
        <w:ind w:left="720"/>
      </w:pPr>
    </w:p>
    <w:p w:rsidR="006E1A40" w:rsidRDefault="006E1A40" w:rsidP="006E1A40">
      <w:pPr>
        <w:ind w:left="720"/>
      </w:pPr>
      <w:r>
        <w:t>A 6</w:t>
      </w:r>
      <w:r w:rsidRPr="00B12F4C">
        <w:t>.</w:t>
      </w:r>
      <w:r>
        <w:t xml:space="preserve">1% fluctuation in the currency is considered reasonable based on the Fund advisor's analysis of long-term historical movements in the month-end exchange rates over a rolling 36-month period. </w:t>
      </w:r>
    </w:p>
    <w:p w:rsidR="006E1A40" w:rsidRDefault="006E1A40" w:rsidP="006E1A40">
      <w:pPr>
        <w:ind w:left="720"/>
      </w:pPr>
    </w:p>
    <w:p w:rsidR="006E1A40" w:rsidRDefault="006E1A40" w:rsidP="006E1A40">
      <w:pPr>
        <w:ind w:left="720"/>
      </w:pPr>
      <w:r>
        <w:t xml:space="preserve">This analysis assumes that all other variables, in particular interest rates, remain constant.  </w:t>
      </w:r>
    </w:p>
    <w:p w:rsidR="006E1A40" w:rsidRDefault="006E1A40" w:rsidP="006E1A40">
      <w:pPr>
        <w:ind w:left="720"/>
      </w:pPr>
    </w:p>
    <w:p w:rsidR="006E1A40" w:rsidRDefault="006E1A40" w:rsidP="006E1A40">
      <w:pPr>
        <w:ind w:left="720"/>
      </w:pPr>
      <w:r>
        <w:t xml:space="preserve"> A 6.1% strengthening/weakening of the pound against the various currencies in which the Fund holds investments would increase/decrease the net assets available to pay benefits as follows:</w:t>
      </w:r>
    </w:p>
    <w:p w:rsidR="006E1A40" w:rsidRDefault="006E1A40" w:rsidP="006E1A40">
      <w:pPr>
        <w:ind w:left="720"/>
      </w:pPr>
      <w:r>
        <w:t xml:space="preserve">  </w:t>
      </w:r>
    </w:p>
    <w:tbl>
      <w:tblPr>
        <w:tblStyle w:val="TableGrid"/>
        <w:tblW w:w="10206" w:type="dxa"/>
        <w:tblInd w:w="534" w:type="dxa"/>
        <w:tblBorders>
          <w:left w:val="none" w:sz="0" w:space="0" w:color="auto"/>
          <w:right w:val="none" w:sz="0" w:space="0" w:color="auto"/>
          <w:insideV w:val="none" w:sz="0" w:space="0" w:color="auto"/>
        </w:tblBorders>
        <w:tblLayout w:type="fixed"/>
        <w:tblLook w:val="04A0"/>
      </w:tblPr>
      <w:tblGrid>
        <w:gridCol w:w="3827"/>
        <w:gridCol w:w="2268"/>
        <w:gridCol w:w="2126"/>
        <w:gridCol w:w="1985"/>
      </w:tblGrid>
      <w:tr w:rsidR="006E1A40" w:rsidRPr="006E1A40" w:rsidTr="00E465B4">
        <w:tc>
          <w:tcPr>
            <w:tcW w:w="3827" w:type="dxa"/>
          </w:tcPr>
          <w:p w:rsidR="006E1A40" w:rsidRPr="006E1A40" w:rsidRDefault="00670114" w:rsidP="006E1A40">
            <w:pPr>
              <w:rPr>
                <w:b/>
                <w:sz w:val="22"/>
                <w:szCs w:val="22"/>
              </w:rPr>
            </w:pPr>
            <w:r w:rsidRPr="00670114">
              <w:rPr>
                <w:b/>
                <w:sz w:val="22"/>
                <w:szCs w:val="22"/>
              </w:rPr>
              <w:t xml:space="preserve">Currency exposure – asset type </w:t>
            </w:r>
          </w:p>
        </w:tc>
        <w:tc>
          <w:tcPr>
            <w:tcW w:w="2268" w:type="dxa"/>
          </w:tcPr>
          <w:p w:rsidR="006E1A40" w:rsidRPr="006E1A40" w:rsidRDefault="00670114" w:rsidP="006E1A40">
            <w:pPr>
              <w:jc w:val="right"/>
              <w:rPr>
                <w:b/>
                <w:sz w:val="22"/>
                <w:szCs w:val="22"/>
              </w:rPr>
            </w:pPr>
            <w:r w:rsidRPr="00670114">
              <w:rPr>
                <w:b/>
                <w:sz w:val="22"/>
                <w:szCs w:val="22"/>
              </w:rPr>
              <w:t xml:space="preserve">Asset value as at </w:t>
            </w:r>
          </w:p>
          <w:p w:rsidR="006E1A40" w:rsidRPr="006E1A40" w:rsidRDefault="00670114" w:rsidP="006E1A40">
            <w:pPr>
              <w:jc w:val="right"/>
              <w:rPr>
                <w:b/>
                <w:sz w:val="22"/>
                <w:szCs w:val="22"/>
              </w:rPr>
            </w:pPr>
            <w:r w:rsidRPr="00670114">
              <w:rPr>
                <w:b/>
                <w:sz w:val="22"/>
                <w:szCs w:val="22"/>
              </w:rPr>
              <w:t>31 March 2013</w:t>
            </w:r>
          </w:p>
        </w:tc>
        <w:tc>
          <w:tcPr>
            <w:tcW w:w="4111" w:type="dxa"/>
            <w:gridSpan w:val="2"/>
          </w:tcPr>
          <w:p w:rsidR="006E1A40" w:rsidRPr="006E1A40" w:rsidRDefault="00670114" w:rsidP="006E1A40">
            <w:pPr>
              <w:jc w:val="right"/>
              <w:rPr>
                <w:b/>
                <w:sz w:val="22"/>
                <w:szCs w:val="22"/>
              </w:rPr>
            </w:pPr>
            <w:r w:rsidRPr="00670114">
              <w:rPr>
                <w:b/>
                <w:sz w:val="22"/>
                <w:szCs w:val="22"/>
              </w:rPr>
              <w:t xml:space="preserve">Change to net assets available to pay benefits </w:t>
            </w:r>
          </w:p>
        </w:tc>
      </w:tr>
      <w:tr w:rsidR="006E1A40" w:rsidRPr="006E1A40" w:rsidTr="00E465B4">
        <w:tc>
          <w:tcPr>
            <w:tcW w:w="3827" w:type="dxa"/>
          </w:tcPr>
          <w:p w:rsidR="006E1A40" w:rsidRPr="006E1A40" w:rsidRDefault="006E1A40" w:rsidP="006E1A40">
            <w:pPr>
              <w:rPr>
                <w:sz w:val="22"/>
                <w:szCs w:val="22"/>
              </w:rPr>
            </w:pPr>
          </w:p>
        </w:tc>
        <w:tc>
          <w:tcPr>
            <w:tcW w:w="2268" w:type="dxa"/>
          </w:tcPr>
          <w:p w:rsidR="006E1A40" w:rsidRPr="006E1A40" w:rsidRDefault="006E1A40" w:rsidP="006E1A40">
            <w:pPr>
              <w:jc w:val="right"/>
              <w:rPr>
                <w:b/>
                <w:sz w:val="22"/>
                <w:szCs w:val="22"/>
              </w:rPr>
            </w:pPr>
          </w:p>
        </w:tc>
        <w:tc>
          <w:tcPr>
            <w:tcW w:w="2126" w:type="dxa"/>
          </w:tcPr>
          <w:p w:rsidR="006E1A40" w:rsidRPr="006E1A40" w:rsidRDefault="00670114" w:rsidP="006E1A40">
            <w:pPr>
              <w:ind w:left="1038"/>
              <w:jc w:val="right"/>
              <w:rPr>
                <w:b/>
                <w:sz w:val="22"/>
                <w:szCs w:val="22"/>
              </w:rPr>
            </w:pPr>
            <w:r w:rsidRPr="00670114">
              <w:rPr>
                <w:b/>
                <w:sz w:val="22"/>
                <w:szCs w:val="22"/>
              </w:rPr>
              <w:t>+6.1%</w:t>
            </w:r>
          </w:p>
        </w:tc>
        <w:tc>
          <w:tcPr>
            <w:tcW w:w="1985" w:type="dxa"/>
          </w:tcPr>
          <w:p w:rsidR="006E1A40" w:rsidRPr="006E1A40" w:rsidRDefault="00670114" w:rsidP="006E1A40">
            <w:pPr>
              <w:jc w:val="right"/>
              <w:rPr>
                <w:b/>
                <w:sz w:val="22"/>
                <w:szCs w:val="22"/>
              </w:rPr>
            </w:pPr>
            <w:r w:rsidRPr="00670114">
              <w:rPr>
                <w:b/>
                <w:sz w:val="22"/>
                <w:szCs w:val="22"/>
              </w:rPr>
              <w:t>-6.1%</w:t>
            </w:r>
          </w:p>
        </w:tc>
      </w:tr>
      <w:tr w:rsidR="006E1A40" w:rsidRPr="006E1A40" w:rsidTr="00E465B4">
        <w:tc>
          <w:tcPr>
            <w:tcW w:w="3827" w:type="dxa"/>
          </w:tcPr>
          <w:p w:rsidR="006E1A40" w:rsidRPr="006E1A40" w:rsidRDefault="006E1A40" w:rsidP="006E1A40">
            <w:pPr>
              <w:rPr>
                <w:sz w:val="22"/>
                <w:szCs w:val="22"/>
              </w:rPr>
            </w:pPr>
          </w:p>
        </w:tc>
        <w:tc>
          <w:tcPr>
            <w:tcW w:w="2268" w:type="dxa"/>
          </w:tcPr>
          <w:p w:rsidR="006E1A40" w:rsidRPr="006E1A40" w:rsidRDefault="00670114" w:rsidP="006E1A40">
            <w:pPr>
              <w:jc w:val="right"/>
              <w:rPr>
                <w:b/>
                <w:sz w:val="22"/>
                <w:szCs w:val="22"/>
              </w:rPr>
            </w:pPr>
            <w:r w:rsidRPr="00670114">
              <w:rPr>
                <w:b/>
                <w:sz w:val="22"/>
                <w:szCs w:val="22"/>
              </w:rPr>
              <w:t>£m</w:t>
            </w:r>
          </w:p>
        </w:tc>
        <w:tc>
          <w:tcPr>
            <w:tcW w:w="2126" w:type="dxa"/>
          </w:tcPr>
          <w:p w:rsidR="006E1A40" w:rsidRPr="006E1A40" w:rsidRDefault="00670114" w:rsidP="006E1A40">
            <w:pPr>
              <w:ind w:left="1038"/>
              <w:jc w:val="right"/>
              <w:rPr>
                <w:b/>
                <w:sz w:val="22"/>
                <w:szCs w:val="22"/>
              </w:rPr>
            </w:pPr>
            <w:r w:rsidRPr="00670114">
              <w:rPr>
                <w:b/>
                <w:sz w:val="22"/>
                <w:szCs w:val="22"/>
              </w:rPr>
              <w:t>£m</w:t>
            </w:r>
          </w:p>
        </w:tc>
        <w:tc>
          <w:tcPr>
            <w:tcW w:w="1985" w:type="dxa"/>
          </w:tcPr>
          <w:p w:rsidR="006E1A40" w:rsidRPr="006E1A40" w:rsidRDefault="00670114" w:rsidP="006E1A40">
            <w:pPr>
              <w:ind w:left="1038"/>
              <w:jc w:val="right"/>
              <w:rPr>
                <w:b/>
                <w:sz w:val="22"/>
                <w:szCs w:val="22"/>
              </w:rPr>
            </w:pPr>
            <w:r w:rsidRPr="00670114">
              <w:rPr>
                <w:b/>
                <w:sz w:val="22"/>
                <w:szCs w:val="22"/>
              </w:rPr>
              <w:t>£m</w:t>
            </w:r>
          </w:p>
        </w:tc>
      </w:tr>
      <w:tr w:rsidR="006E1A40" w:rsidRPr="006E1A40" w:rsidTr="00E465B4">
        <w:tc>
          <w:tcPr>
            <w:tcW w:w="3827" w:type="dxa"/>
          </w:tcPr>
          <w:p w:rsidR="006E1A40" w:rsidRPr="006E1A40" w:rsidRDefault="00670114" w:rsidP="006E1A40">
            <w:pPr>
              <w:rPr>
                <w:sz w:val="22"/>
                <w:szCs w:val="22"/>
              </w:rPr>
            </w:pPr>
            <w:r w:rsidRPr="00670114">
              <w:rPr>
                <w:sz w:val="22"/>
                <w:szCs w:val="22"/>
              </w:rPr>
              <w:t xml:space="preserve">Overseas Equities </w:t>
            </w:r>
          </w:p>
        </w:tc>
        <w:tc>
          <w:tcPr>
            <w:tcW w:w="2268" w:type="dxa"/>
          </w:tcPr>
          <w:p w:rsidR="006E1A40" w:rsidRPr="006E1A40" w:rsidRDefault="00670114" w:rsidP="006E1A40">
            <w:pPr>
              <w:jc w:val="right"/>
              <w:rPr>
                <w:sz w:val="22"/>
                <w:szCs w:val="22"/>
              </w:rPr>
            </w:pPr>
            <w:r w:rsidRPr="00670114">
              <w:rPr>
                <w:sz w:val="22"/>
                <w:szCs w:val="22"/>
              </w:rPr>
              <w:t>1,531.0</w:t>
            </w:r>
          </w:p>
        </w:tc>
        <w:tc>
          <w:tcPr>
            <w:tcW w:w="2126" w:type="dxa"/>
          </w:tcPr>
          <w:p w:rsidR="006E1A40" w:rsidRPr="006E1A40" w:rsidRDefault="00670114" w:rsidP="006E1A40">
            <w:pPr>
              <w:jc w:val="right"/>
              <w:rPr>
                <w:sz w:val="22"/>
                <w:szCs w:val="22"/>
              </w:rPr>
            </w:pPr>
            <w:r w:rsidRPr="00670114">
              <w:rPr>
                <w:sz w:val="22"/>
                <w:szCs w:val="22"/>
              </w:rPr>
              <w:t>1,624.4</w:t>
            </w:r>
          </w:p>
        </w:tc>
        <w:tc>
          <w:tcPr>
            <w:tcW w:w="1985" w:type="dxa"/>
          </w:tcPr>
          <w:p w:rsidR="006E1A40" w:rsidRPr="006E1A40" w:rsidRDefault="00670114" w:rsidP="006E1A40">
            <w:pPr>
              <w:jc w:val="right"/>
              <w:rPr>
                <w:sz w:val="22"/>
                <w:szCs w:val="22"/>
              </w:rPr>
            </w:pPr>
            <w:r w:rsidRPr="00670114">
              <w:rPr>
                <w:sz w:val="22"/>
                <w:szCs w:val="22"/>
              </w:rPr>
              <w:t>1,437.2</w:t>
            </w:r>
          </w:p>
        </w:tc>
      </w:tr>
      <w:tr w:rsidR="006E1A40" w:rsidRPr="006E1A40" w:rsidTr="00E465B4">
        <w:tc>
          <w:tcPr>
            <w:tcW w:w="3827" w:type="dxa"/>
          </w:tcPr>
          <w:p w:rsidR="006E1A40" w:rsidRPr="006E1A40" w:rsidRDefault="00670114" w:rsidP="006E1A40">
            <w:pPr>
              <w:rPr>
                <w:sz w:val="22"/>
                <w:szCs w:val="22"/>
              </w:rPr>
            </w:pPr>
            <w:r w:rsidRPr="00670114">
              <w:rPr>
                <w:sz w:val="22"/>
                <w:szCs w:val="22"/>
              </w:rPr>
              <w:t xml:space="preserve">Overseas Bonds </w:t>
            </w:r>
          </w:p>
        </w:tc>
        <w:tc>
          <w:tcPr>
            <w:tcW w:w="2268" w:type="dxa"/>
          </w:tcPr>
          <w:p w:rsidR="006E1A40" w:rsidRPr="006E1A40" w:rsidRDefault="00670114" w:rsidP="006E1A40">
            <w:pPr>
              <w:jc w:val="right"/>
              <w:rPr>
                <w:sz w:val="22"/>
                <w:szCs w:val="22"/>
              </w:rPr>
            </w:pPr>
            <w:r w:rsidRPr="00670114">
              <w:rPr>
                <w:sz w:val="22"/>
                <w:szCs w:val="22"/>
              </w:rPr>
              <w:t>323.7</w:t>
            </w:r>
          </w:p>
        </w:tc>
        <w:tc>
          <w:tcPr>
            <w:tcW w:w="2126" w:type="dxa"/>
          </w:tcPr>
          <w:p w:rsidR="006E1A40" w:rsidRPr="006E1A40" w:rsidRDefault="00670114" w:rsidP="006E1A40">
            <w:pPr>
              <w:jc w:val="right"/>
              <w:rPr>
                <w:sz w:val="22"/>
                <w:szCs w:val="22"/>
              </w:rPr>
            </w:pPr>
            <w:r w:rsidRPr="00670114">
              <w:rPr>
                <w:sz w:val="22"/>
                <w:szCs w:val="22"/>
              </w:rPr>
              <w:t>343.5</w:t>
            </w:r>
          </w:p>
        </w:tc>
        <w:tc>
          <w:tcPr>
            <w:tcW w:w="1985" w:type="dxa"/>
          </w:tcPr>
          <w:p w:rsidR="006E1A40" w:rsidRPr="006E1A40" w:rsidRDefault="00670114" w:rsidP="006E1A40">
            <w:pPr>
              <w:jc w:val="right"/>
              <w:rPr>
                <w:sz w:val="22"/>
                <w:szCs w:val="22"/>
              </w:rPr>
            </w:pPr>
            <w:r w:rsidRPr="00670114">
              <w:rPr>
                <w:sz w:val="22"/>
                <w:szCs w:val="22"/>
              </w:rPr>
              <w:t>303.9</w:t>
            </w:r>
          </w:p>
        </w:tc>
      </w:tr>
      <w:tr w:rsidR="006E1A40" w:rsidRPr="006E1A40" w:rsidTr="00E465B4">
        <w:tc>
          <w:tcPr>
            <w:tcW w:w="3827" w:type="dxa"/>
          </w:tcPr>
          <w:p w:rsidR="006E1A40" w:rsidRPr="006E1A40" w:rsidRDefault="00670114" w:rsidP="006E1A40">
            <w:pPr>
              <w:rPr>
                <w:sz w:val="22"/>
                <w:szCs w:val="22"/>
              </w:rPr>
            </w:pPr>
            <w:r w:rsidRPr="00670114">
              <w:rPr>
                <w:sz w:val="22"/>
                <w:szCs w:val="22"/>
              </w:rPr>
              <w:t xml:space="preserve">Overseas Alternatives </w:t>
            </w:r>
          </w:p>
        </w:tc>
        <w:tc>
          <w:tcPr>
            <w:tcW w:w="2268" w:type="dxa"/>
          </w:tcPr>
          <w:p w:rsidR="006E1A40" w:rsidRPr="006E1A40" w:rsidRDefault="00670114" w:rsidP="006E1A40">
            <w:pPr>
              <w:jc w:val="right"/>
              <w:rPr>
                <w:sz w:val="22"/>
                <w:szCs w:val="22"/>
              </w:rPr>
            </w:pPr>
            <w:r w:rsidRPr="00670114">
              <w:rPr>
                <w:sz w:val="22"/>
                <w:szCs w:val="22"/>
              </w:rPr>
              <w:t>164.7</w:t>
            </w:r>
          </w:p>
        </w:tc>
        <w:tc>
          <w:tcPr>
            <w:tcW w:w="2126" w:type="dxa"/>
          </w:tcPr>
          <w:p w:rsidR="006E1A40" w:rsidRPr="006E1A40" w:rsidRDefault="00670114" w:rsidP="006E1A40">
            <w:pPr>
              <w:jc w:val="right"/>
              <w:rPr>
                <w:sz w:val="22"/>
                <w:szCs w:val="22"/>
              </w:rPr>
            </w:pPr>
            <w:r w:rsidRPr="00670114">
              <w:rPr>
                <w:sz w:val="22"/>
                <w:szCs w:val="22"/>
              </w:rPr>
              <w:t>174.8</w:t>
            </w:r>
          </w:p>
        </w:tc>
        <w:tc>
          <w:tcPr>
            <w:tcW w:w="1985" w:type="dxa"/>
          </w:tcPr>
          <w:p w:rsidR="006E1A40" w:rsidRPr="006E1A40" w:rsidRDefault="00670114" w:rsidP="006E1A40">
            <w:pPr>
              <w:jc w:val="right"/>
              <w:rPr>
                <w:sz w:val="22"/>
                <w:szCs w:val="22"/>
              </w:rPr>
            </w:pPr>
            <w:r w:rsidRPr="00670114">
              <w:rPr>
                <w:sz w:val="22"/>
                <w:szCs w:val="22"/>
              </w:rPr>
              <w:t>154.6</w:t>
            </w:r>
          </w:p>
        </w:tc>
      </w:tr>
      <w:tr w:rsidR="006E1A40" w:rsidRPr="006E1A40" w:rsidTr="00E465B4">
        <w:tc>
          <w:tcPr>
            <w:tcW w:w="3827" w:type="dxa"/>
          </w:tcPr>
          <w:p w:rsidR="006E1A40" w:rsidRPr="006E1A40" w:rsidRDefault="00670114" w:rsidP="006E1A40">
            <w:pPr>
              <w:rPr>
                <w:sz w:val="22"/>
                <w:szCs w:val="22"/>
              </w:rPr>
            </w:pPr>
            <w:r w:rsidRPr="00670114">
              <w:rPr>
                <w:sz w:val="22"/>
                <w:szCs w:val="22"/>
              </w:rPr>
              <w:t>Overseas Pooled</w:t>
            </w:r>
          </w:p>
        </w:tc>
        <w:tc>
          <w:tcPr>
            <w:tcW w:w="2268" w:type="dxa"/>
          </w:tcPr>
          <w:p w:rsidR="006E1A40" w:rsidRPr="006E1A40" w:rsidRDefault="00670114" w:rsidP="006E1A40">
            <w:pPr>
              <w:jc w:val="right"/>
              <w:rPr>
                <w:sz w:val="22"/>
                <w:szCs w:val="22"/>
              </w:rPr>
            </w:pPr>
            <w:r w:rsidRPr="00670114">
              <w:rPr>
                <w:sz w:val="22"/>
                <w:szCs w:val="22"/>
              </w:rPr>
              <w:t>1,051.7</w:t>
            </w:r>
          </w:p>
        </w:tc>
        <w:tc>
          <w:tcPr>
            <w:tcW w:w="2126" w:type="dxa"/>
          </w:tcPr>
          <w:p w:rsidR="006E1A40" w:rsidRPr="006E1A40" w:rsidRDefault="00670114" w:rsidP="006E1A40">
            <w:pPr>
              <w:jc w:val="right"/>
              <w:rPr>
                <w:sz w:val="22"/>
                <w:szCs w:val="22"/>
              </w:rPr>
            </w:pPr>
            <w:r w:rsidRPr="00670114">
              <w:rPr>
                <w:sz w:val="22"/>
                <w:szCs w:val="22"/>
              </w:rPr>
              <w:t>1,115.8</w:t>
            </w:r>
          </w:p>
        </w:tc>
        <w:tc>
          <w:tcPr>
            <w:tcW w:w="1985" w:type="dxa"/>
          </w:tcPr>
          <w:p w:rsidR="006E1A40" w:rsidRPr="006E1A40" w:rsidRDefault="00670114" w:rsidP="006E1A40">
            <w:pPr>
              <w:jc w:val="right"/>
              <w:rPr>
                <w:sz w:val="22"/>
                <w:szCs w:val="22"/>
              </w:rPr>
            </w:pPr>
            <w:r w:rsidRPr="00670114">
              <w:rPr>
                <w:sz w:val="22"/>
                <w:szCs w:val="22"/>
              </w:rPr>
              <w:t>987.5</w:t>
            </w:r>
          </w:p>
        </w:tc>
      </w:tr>
      <w:tr w:rsidR="006E1A40" w:rsidRPr="006E1A40" w:rsidTr="00E465B4">
        <w:tc>
          <w:tcPr>
            <w:tcW w:w="3827" w:type="dxa"/>
          </w:tcPr>
          <w:p w:rsidR="006E1A40" w:rsidRPr="006E1A40" w:rsidRDefault="00670114" w:rsidP="006E1A40">
            <w:pPr>
              <w:rPr>
                <w:b/>
                <w:sz w:val="22"/>
                <w:szCs w:val="22"/>
              </w:rPr>
            </w:pPr>
            <w:r w:rsidRPr="00670114">
              <w:rPr>
                <w:b/>
                <w:sz w:val="22"/>
                <w:szCs w:val="22"/>
              </w:rPr>
              <w:t xml:space="preserve">Total change in assets available  </w:t>
            </w:r>
          </w:p>
        </w:tc>
        <w:tc>
          <w:tcPr>
            <w:tcW w:w="2268" w:type="dxa"/>
          </w:tcPr>
          <w:p w:rsidR="006E1A40" w:rsidRPr="006E1A40" w:rsidRDefault="00670114" w:rsidP="006E1A40">
            <w:pPr>
              <w:jc w:val="right"/>
              <w:rPr>
                <w:sz w:val="22"/>
                <w:szCs w:val="22"/>
              </w:rPr>
            </w:pPr>
            <w:r w:rsidRPr="00670114">
              <w:rPr>
                <w:sz w:val="22"/>
                <w:szCs w:val="22"/>
              </w:rPr>
              <w:t>3,071.1</w:t>
            </w:r>
          </w:p>
        </w:tc>
        <w:tc>
          <w:tcPr>
            <w:tcW w:w="2126" w:type="dxa"/>
          </w:tcPr>
          <w:p w:rsidR="006E1A40" w:rsidRPr="006E1A40" w:rsidRDefault="00670114" w:rsidP="006E1A40">
            <w:pPr>
              <w:jc w:val="right"/>
              <w:rPr>
                <w:sz w:val="22"/>
                <w:szCs w:val="22"/>
              </w:rPr>
            </w:pPr>
            <w:r w:rsidRPr="00670114">
              <w:rPr>
                <w:sz w:val="22"/>
                <w:szCs w:val="22"/>
              </w:rPr>
              <w:t>3,258.5</w:t>
            </w:r>
          </w:p>
        </w:tc>
        <w:tc>
          <w:tcPr>
            <w:tcW w:w="1985" w:type="dxa"/>
          </w:tcPr>
          <w:p w:rsidR="006E1A40" w:rsidRPr="006E1A40" w:rsidRDefault="00670114" w:rsidP="006E1A40">
            <w:pPr>
              <w:jc w:val="right"/>
              <w:rPr>
                <w:sz w:val="22"/>
                <w:szCs w:val="22"/>
              </w:rPr>
            </w:pPr>
            <w:r w:rsidRPr="00670114">
              <w:rPr>
                <w:sz w:val="22"/>
                <w:szCs w:val="22"/>
              </w:rPr>
              <w:t>2883.2</w:t>
            </w:r>
          </w:p>
        </w:tc>
      </w:tr>
    </w:tbl>
    <w:p w:rsidR="006E1A40" w:rsidRDefault="006E1A40" w:rsidP="006E1A40">
      <w:pPr>
        <w:ind w:left="720"/>
        <w:rPr>
          <w:sz w:val="22"/>
          <w:szCs w:val="22"/>
        </w:rPr>
      </w:pPr>
    </w:p>
    <w:p w:rsidR="006E1A40" w:rsidRDefault="00670114" w:rsidP="006E1A40">
      <w:pPr>
        <w:ind w:left="720"/>
        <w:rPr>
          <w:sz w:val="22"/>
          <w:szCs w:val="22"/>
        </w:rPr>
      </w:pPr>
      <w:r w:rsidRPr="00670114">
        <w:rPr>
          <w:sz w:val="22"/>
          <w:szCs w:val="22"/>
        </w:rPr>
        <w:t xml:space="preserve"> </w:t>
      </w:r>
    </w:p>
    <w:p w:rsidR="00E45A72" w:rsidRDefault="00E45A72" w:rsidP="006E1A40">
      <w:pPr>
        <w:ind w:left="720"/>
        <w:rPr>
          <w:sz w:val="22"/>
          <w:szCs w:val="22"/>
        </w:rPr>
      </w:pPr>
    </w:p>
    <w:p w:rsidR="00E45A72" w:rsidRDefault="00E45A72" w:rsidP="006E1A40">
      <w:pPr>
        <w:ind w:left="720"/>
        <w:rPr>
          <w:sz w:val="22"/>
          <w:szCs w:val="22"/>
        </w:rPr>
      </w:pPr>
    </w:p>
    <w:p w:rsidR="00E45A72" w:rsidRPr="006E1A40" w:rsidRDefault="00E45A72" w:rsidP="006E1A40">
      <w:pPr>
        <w:ind w:left="720"/>
        <w:rPr>
          <w:sz w:val="22"/>
          <w:szCs w:val="22"/>
        </w:rPr>
      </w:pPr>
    </w:p>
    <w:tbl>
      <w:tblPr>
        <w:tblStyle w:val="TableGrid"/>
        <w:tblW w:w="10206" w:type="dxa"/>
        <w:tblInd w:w="534" w:type="dxa"/>
        <w:tblBorders>
          <w:left w:val="none" w:sz="0" w:space="0" w:color="auto"/>
          <w:right w:val="none" w:sz="0" w:space="0" w:color="auto"/>
          <w:insideV w:val="none" w:sz="0" w:space="0" w:color="auto"/>
        </w:tblBorders>
        <w:tblLayout w:type="fixed"/>
        <w:tblLook w:val="04A0"/>
      </w:tblPr>
      <w:tblGrid>
        <w:gridCol w:w="3543"/>
        <w:gridCol w:w="2552"/>
        <w:gridCol w:w="2126"/>
        <w:gridCol w:w="1985"/>
      </w:tblGrid>
      <w:tr w:rsidR="006E1A40" w:rsidRPr="006E1A40" w:rsidTr="00E465B4">
        <w:tc>
          <w:tcPr>
            <w:tcW w:w="3543" w:type="dxa"/>
          </w:tcPr>
          <w:p w:rsidR="006E1A40" w:rsidRPr="006E1A40" w:rsidRDefault="00670114" w:rsidP="006E1A40">
            <w:pPr>
              <w:rPr>
                <w:b/>
                <w:sz w:val="22"/>
                <w:szCs w:val="22"/>
              </w:rPr>
            </w:pPr>
            <w:r w:rsidRPr="00670114">
              <w:rPr>
                <w:b/>
                <w:sz w:val="22"/>
                <w:szCs w:val="22"/>
              </w:rPr>
              <w:t xml:space="preserve">Currency exposure – asset type </w:t>
            </w:r>
          </w:p>
        </w:tc>
        <w:tc>
          <w:tcPr>
            <w:tcW w:w="2552" w:type="dxa"/>
          </w:tcPr>
          <w:p w:rsidR="006E1A40" w:rsidRPr="006E1A40" w:rsidRDefault="00670114" w:rsidP="006E1A40">
            <w:pPr>
              <w:jc w:val="right"/>
              <w:rPr>
                <w:b/>
                <w:sz w:val="22"/>
                <w:szCs w:val="22"/>
              </w:rPr>
            </w:pPr>
            <w:r w:rsidRPr="00670114">
              <w:rPr>
                <w:b/>
                <w:sz w:val="22"/>
                <w:szCs w:val="22"/>
              </w:rPr>
              <w:t xml:space="preserve">Asset value as at </w:t>
            </w:r>
          </w:p>
          <w:p w:rsidR="006E1A40" w:rsidRPr="006E1A40" w:rsidRDefault="00670114" w:rsidP="006E1A40">
            <w:pPr>
              <w:jc w:val="right"/>
              <w:rPr>
                <w:b/>
                <w:sz w:val="22"/>
                <w:szCs w:val="22"/>
              </w:rPr>
            </w:pPr>
            <w:r w:rsidRPr="00670114">
              <w:rPr>
                <w:b/>
                <w:sz w:val="22"/>
                <w:szCs w:val="22"/>
              </w:rPr>
              <w:t>31 March 2012</w:t>
            </w:r>
          </w:p>
        </w:tc>
        <w:tc>
          <w:tcPr>
            <w:tcW w:w="4111" w:type="dxa"/>
            <w:gridSpan w:val="2"/>
          </w:tcPr>
          <w:p w:rsidR="006E1A40" w:rsidRPr="006E1A40" w:rsidRDefault="00670114" w:rsidP="006E1A40">
            <w:pPr>
              <w:jc w:val="right"/>
              <w:rPr>
                <w:b/>
                <w:sz w:val="22"/>
                <w:szCs w:val="22"/>
              </w:rPr>
            </w:pPr>
            <w:r w:rsidRPr="00670114">
              <w:rPr>
                <w:b/>
                <w:sz w:val="22"/>
                <w:szCs w:val="22"/>
              </w:rPr>
              <w:t xml:space="preserve">Change to net assets available to pay benefits </w:t>
            </w:r>
          </w:p>
        </w:tc>
      </w:tr>
      <w:tr w:rsidR="006E1A40" w:rsidRPr="006E1A40" w:rsidTr="00E465B4">
        <w:tc>
          <w:tcPr>
            <w:tcW w:w="3543" w:type="dxa"/>
          </w:tcPr>
          <w:p w:rsidR="006E1A40" w:rsidRPr="006E1A40" w:rsidRDefault="006E1A40" w:rsidP="006E1A40">
            <w:pPr>
              <w:rPr>
                <w:sz w:val="22"/>
                <w:szCs w:val="22"/>
              </w:rPr>
            </w:pPr>
          </w:p>
        </w:tc>
        <w:tc>
          <w:tcPr>
            <w:tcW w:w="2552" w:type="dxa"/>
          </w:tcPr>
          <w:p w:rsidR="006E1A40" w:rsidRPr="006E1A40" w:rsidRDefault="006E1A40" w:rsidP="006E1A40">
            <w:pPr>
              <w:jc w:val="right"/>
              <w:rPr>
                <w:b/>
                <w:sz w:val="22"/>
                <w:szCs w:val="22"/>
              </w:rPr>
            </w:pPr>
          </w:p>
        </w:tc>
        <w:tc>
          <w:tcPr>
            <w:tcW w:w="2126" w:type="dxa"/>
          </w:tcPr>
          <w:p w:rsidR="006E1A40" w:rsidRPr="006E1A40" w:rsidRDefault="00670114" w:rsidP="006E1A40">
            <w:pPr>
              <w:ind w:left="1038"/>
              <w:jc w:val="right"/>
              <w:rPr>
                <w:b/>
                <w:sz w:val="22"/>
                <w:szCs w:val="22"/>
              </w:rPr>
            </w:pPr>
            <w:r w:rsidRPr="00670114">
              <w:rPr>
                <w:b/>
                <w:sz w:val="22"/>
                <w:szCs w:val="22"/>
              </w:rPr>
              <w:t>+9.7%</w:t>
            </w:r>
          </w:p>
        </w:tc>
        <w:tc>
          <w:tcPr>
            <w:tcW w:w="1985" w:type="dxa"/>
          </w:tcPr>
          <w:p w:rsidR="006E1A40" w:rsidRPr="006E1A40" w:rsidRDefault="00670114" w:rsidP="006E1A40">
            <w:pPr>
              <w:jc w:val="right"/>
              <w:rPr>
                <w:b/>
                <w:sz w:val="22"/>
                <w:szCs w:val="22"/>
              </w:rPr>
            </w:pPr>
            <w:r w:rsidRPr="00670114">
              <w:rPr>
                <w:b/>
                <w:sz w:val="22"/>
                <w:szCs w:val="22"/>
              </w:rPr>
              <w:t>-9.7%</w:t>
            </w:r>
          </w:p>
        </w:tc>
      </w:tr>
      <w:tr w:rsidR="006E1A40" w:rsidRPr="006E1A40" w:rsidTr="00E465B4">
        <w:tc>
          <w:tcPr>
            <w:tcW w:w="3543" w:type="dxa"/>
          </w:tcPr>
          <w:p w:rsidR="006E1A40" w:rsidRPr="006E1A40" w:rsidRDefault="006E1A40" w:rsidP="006E1A40">
            <w:pPr>
              <w:rPr>
                <w:sz w:val="22"/>
                <w:szCs w:val="22"/>
              </w:rPr>
            </w:pPr>
          </w:p>
        </w:tc>
        <w:tc>
          <w:tcPr>
            <w:tcW w:w="2552" w:type="dxa"/>
          </w:tcPr>
          <w:p w:rsidR="006E1A40" w:rsidRPr="006E1A40" w:rsidRDefault="00670114" w:rsidP="006E1A40">
            <w:pPr>
              <w:jc w:val="right"/>
              <w:rPr>
                <w:b/>
                <w:sz w:val="22"/>
                <w:szCs w:val="22"/>
              </w:rPr>
            </w:pPr>
            <w:r w:rsidRPr="00670114">
              <w:rPr>
                <w:b/>
                <w:sz w:val="22"/>
                <w:szCs w:val="22"/>
              </w:rPr>
              <w:t>£m</w:t>
            </w:r>
          </w:p>
        </w:tc>
        <w:tc>
          <w:tcPr>
            <w:tcW w:w="2126" w:type="dxa"/>
          </w:tcPr>
          <w:p w:rsidR="006E1A40" w:rsidRPr="006E1A40" w:rsidRDefault="00670114" w:rsidP="006E1A40">
            <w:pPr>
              <w:ind w:left="1038"/>
              <w:jc w:val="right"/>
              <w:rPr>
                <w:b/>
                <w:sz w:val="22"/>
                <w:szCs w:val="22"/>
              </w:rPr>
            </w:pPr>
            <w:r w:rsidRPr="00670114">
              <w:rPr>
                <w:b/>
                <w:sz w:val="22"/>
                <w:szCs w:val="22"/>
              </w:rPr>
              <w:t>£m</w:t>
            </w:r>
          </w:p>
        </w:tc>
        <w:tc>
          <w:tcPr>
            <w:tcW w:w="1985" w:type="dxa"/>
          </w:tcPr>
          <w:p w:rsidR="006E1A40" w:rsidRPr="006E1A40" w:rsidRDefault="00670114" w:rsidP="006E1A40">
            <w:pPr>
              <w:ind w:left="1038"/>
              <w:jc w:val="right"/>
              <w:rPr>
                <w:b/>
                <w:sz w:val="22"/>
                <w:szCs w:val="22"/>
              </w:rPr>
            </w:pPr>
            <w:r w:rsidRPr="00670114">
              <w:rPr>
                <w:b/>
                <w:sz w:val="22"/>
                <w:szCs w:val="22"/>
              </w:rPr>
              <w:t>£m</w:t>
            </w:r>
          </w:p>
        </w:tc>
      </w:tr>
      <w:tr w:rsidR="006E1A40" w:rsidRPr="006E1A40" w:rsidTr="00E465B4">
        <w:tc>
          <w:tcPr>
            <w:tcW w:w="3543" w:type="dxa"/>
          </w:tcPr>
          <w:p w:rsidR="006E1A40" w:rsidRPr="006E1A40" w:rsidRDefault="00670114" w:rsidP="006E1A40">
            <w:pPr>
              <w:rPr>
                <w:sz w:val="22"/>
                <w:szCs w:val="22"/>
              </w:rPr>
            </w:pPr>
            <w:r w:rsidRPr="00670114">
              <w:rPr>
                <w:sz w:val="22"/>
                <w:szCs w:val="22"/>
              </w:rPr>
              <w:t xml:space="preserve">Overseas Equities </w:t>
            </w:r>
          </w:p>
        </w:tc>
        <w:tc>
          <w:tcPr>
            <w:tcW w:w="2552" w:type="dxa"/>
          </w:tcPr>
          <w:p w:rsidR="006E1A40" w:rsidRPr="006E1A40" w:rsidRDefault="00670114" w:rsidP="006E1A40">
            <w:pPr>
              <w:jc w:val="right"/>
              <w:rPr>
                <w:sz w:val="22"/>
                <w:szCs w:val="22"/>
              </w:rPr>
            </w:pPr>
            <w:r w:rsidRPr="00670114">
              <w:rPr>
                <w:sz w:val="22"/>
                <w:szCs w:val="22"/>
              </w:rPr>
              <w:t>1,236.9</w:t>
            </w:r>
          </w:p>
        </w:tc>
        <w:tc>
          <w:tcPr>
            <w:tcW w:w="2126" w:type="dxa"/>
          </w:tcPr>
          <w:p w:rsidR="006E1A40" w:rsidRPr="006E1A40" w:rsidRDefault="00670114" w:rsidP="006E1A40">
            <w:pPr>
              <w:jc w:val="right"/>
              <w:rPr>
                <w:sz w:val="22"/>
                <w:szCs w:val="22"/>
              </w:rPr>
            </w:pPr>
            <w:r w:rsidRPr="00670114">
              <w:rPr>
                <w:sz w:val="22"/>
                <w:szCs w:val="22"/>
              </w:rPr>
              <w:t>1,357.0</w:t>
            </w:r>
          </w:p>
        </w:tc>
        <w:tc>
          <w:tcPr>
            <w:tcW w:w="1985" w:type="dxa"/>
          </w:tcPr>
          <w:p w:rsidR="006E1A40" w:rsidRPr="006E1A40" w:rsidRDefault="00670114" w:rsidP="006E1A40">
            <w:pPr>
              <w:jc w:val="right"/>
              <w:rPr>
                <w:sz w:val="22"/>
                <w:szCs w:val="22"/>
              </w:rPr>
            </w:pPr>
            <w:r w:rsidRPr="00670114">
              <w:rPr>
                <w:sz w:val="22"/>
                <w:szCs w:val="22"/>
              </w:rPr>
              <w:t>1,116.8</w:t>
            </w:r>
          </w:p>
        </w:tc>
      </w:tr>
      <w:tr w:rsidR="006E1A40" w:rsidRPr="006E1A40" w:rsidTr="00E465B4">
        <w:tc>
          <w:tcPr>
            <w:tcW w:w="3543" w:type="dxa"/>
          </w:tcPr>
          <w:p w:rsidR="006E1A40" w:rsidRPr="006E1A40" w:rsidRDefault="00670114" w:rsidP="006E1A40">
            <w:pPr>
              <w:rPr>
                <w:sz w:val="22"/>
                <w:szCs w:val="22"/>
              </w:rPr>
            </w:pPr>
            <w:r w:rsidRPr="00670114">
              <w:rPr>
                <w:sz w:val="22"/>
                <w:szCs w:val="22"/>
              </w:rPr>
              <w:t>Overseas Bonds</w:t>
            </w:r>
          </w:p>
        </w:tc>
        <w:tc>
          <w:tcPr>
            <w:tcW w:w="2552" w:type="dxa"/>
          </w:tcPr>
          <w:p w:rsidR="006E1A40" w:rsidRPr="006E1A40" w:rsidRDefault="00670114" w:rsidP="006E1A40">
            <w:pPr>
              <w:jc w:val="right"/>
              <w:rPr>
                <w:sz w:val="22"/>
                <w:szCs w:val="22"/>
              </w:rPr>
            </w:pPr>
            <w:r w:rsidRPr="00670114">
              <w:rPr>
                <w:sz w:val="22"/>
                <w:szCs w:val="22"/>
              </w:rPr>
              <w:t>100.0</w:t>
            </w:r>
          </w:p>
        </w:tc>
        <w:tc>
          <w:tcPr>
            <w:tcW w:w="2126" w:type="dxa"/>
          </w:tcPr>
          <w:p w:rsidR="006E1A40" w:rsidRPr="006E1A40" w:rsidRDefault="00670114" w:rsidP="006E1A40">
            <w:pPr>
              <w:jc w:val="right"/>
              <w:rPr>
                <w:sz w:val="22"/>
                <w:szCs w:val="22"/>
              </w:rPr>
            </w:pPr>
            <w:r w:rsidRPr="00670114">
              <w:rPr>
                <w:sz w:val="22"/>
                <w:szCs w:val="22"/>
              </w:rPr>
              <w:t>109.7</w:t>
            </w:r>
          </w:p>
        </w:tc>
        <w:tc>
          <w:tcPr>
            <w:tcW w:w="1985" w:type="dxa"/>
          </w:tcPr>
          <w:p w:rsidR="006E1A40" w:rsidRPr="006E1A40" w:rsidRDefault="00670114" w:rsidP="006E1A40">
            <w:pPr>
              <w:jc w:val="right"/>
              <w:rPr>
                <w:sz w:val="22"/>
                <w:szCs w:val="22"/>
              </w:rPr>
            </w:pPr>
            <w:r w:rsidRPr="00670114">
              <w:rPr>
                <w:sz w:val="22"/>
                <w:szCs w:val="22"/>
              </w:rPr>
              <w:t>90.3</w:t>
            </w:r>
          </w:p>
        </w:tc>
      </w:tr>
      <w:tr w:rsidR="006E1A40" w:rsidRPr="006E1A40" w:rsidTr="00E465B4">
        <w:tc>
          <w:tcPr>
            <w:tcW w:w="3543" w:type="dxa"/>
          </w:tcPr>
          <w:p w:rsidR="006E1A40" w:rsidRPr="006E1A40" w:rsidRDefault="00670114" w:rsidP="006E1A40">
            <w:pPr>
              <w:rPr>
                <w:sz w:val="22"/>
                <w:szCs w:val="22"/>
              </w:rPr>
            </w:pPr>
            <w:r w:rsidRPr="00670114">
              <w:rPr>
                <w:sz w:val="22"/>
                <w:szCs w:val="22"/>
              </w:rPr>
              <w:t xml:space="preserve">Overseas Alternatives </w:t>
            </w:r>
          </w:p>
        </w:tc>
        <w:tc>
          <w:tcPr>
            <w:tcW w:w="2552" w:type="dxa"/>
          </w:tcPr>
          <w:p w:rsidR="006E1A40" w:rsidRPr="006E1A40" w:rsidRDefault="00670114" w:rsidP="006E1A40">
            <w:pPr>
              <w:jc w:val="right"/>
              <w:rPr>
                <w:sz w:val="22"/>
                <w:szCs w:val="22"/>
              </w:rPr>
            </w:pPr>
            <w:r w:rsidRPr="00670114">
              <w:rPr>
                <w:sz w:val="22"/>
                <w:szCs w:val="22"/>
              </w:rPr>
              <w:t>187.9</w:t>
            </w:r>
          </w:p>
        </w:tc>
        <w:tc>
          <w:tcPr>
            <w:tcW w:w="2126" w:type="dxa"/>
          </w:tcPr>
          <w:p w:rsidR="006E1A40" w:rsidRPr="006E1A40" w:rsidRDefault="00670114" w:rsidP="006E1A40">
            <w:pPr>
              <w:jc w:val="right"/>
              <w:rPr>
                <w:sz w:val="22"/>
                <w:szCs w:val="22"/>
              </w:rPr>
            </w:pPr>
            <w:r w:rsidRPr="00670114">
              <w:rPr>
                <w:sz w:val="22"/>
                <w:szCs w:val="22"/>
              </w:rPr>
              <w:t>206.2</w:t>
            </w:r>
          </w:p>
        </w:tc>
        <w:tc>
          <w:tcPr>
            <w:tcW w:w="1985" w:type="dxa"/>
          </w:tcPr>
          <w:p w:rsidR="006E1A40" w:rsidRPr="006E1A40" w:rsidRDefault="00670114" w:rsidP="006E1A40">
            <w:pPr>
              <w:jc w:val="right"/>
              <w:rPr>
                <w:sz w:val="22"/>
                <w:szCs w:val="22"/>
              </w:rPr>
            </w:pPr>
            <w:r w:rsidRPr="00670114">
              <w:rPr>
                <w:sz w:val="22"/>
                <w:szCs w:val="22"/>
              </w:rPr>
              <w:t>169.7</w:t>
            </w:r>
          </w:p>
        </w:tc>
      </w:tr>
      <w:tr w:rsidR="006E1A40" w:rsidRPr="006E1A40" w:rsidTr="00E465B4">
        <w:tc>
          <w:tcPr>
            <w:tcW w:w="3543" w:type="dxa"/>
          </w:tcPr>
          <w:p w:rsidR="006E1A40" w:rsidRPr="006E1A40" w:rsidRDefault="00670114" w:rsidP="006E1A40">
            <w:pPr>
              <w:rPr>
                <w:sz w:val="22"/>
                <w:szCs w:val="22"/>
              </w:rPr>
            </w:pPr>
            <w:r w:rsidRPr="00670114">
              <w:rPr>
                <w:sz w:val="22"/>
                <w:szCs w:val="22"/>
              </w:rPr>
              <w:t xml:space="preserve">Overseas Pooled </w:t>
            </w:r>
          </w:p>
        </w:tc>
        <w:tc>
          <w:tcPr>
            <w:tcW w:w="2552" w:type="dxa"/>
          </w:tcPr>
          <w:p w:rsidR="006E1A40" w:rsidRPr="006E1A40" w:rsidRDefault="00670114" w:rsidP="006E1A40">
            <w:pPr>
              <w:jc w:val="right"/>
              <w:rPr>
                <w:sz w:val="22"/>
                <w:szCs w:val="22"/>
              </w:rPr>
            </w:pPr>
            <w:r w:rsidRPr="00670114">
              <w:rPr>
                <w:sz w:val="22"/>
                <w:szCs w:val="22"/>
              </w:rPr>
              <w:t>449.6</w:t>
            </w:r>
          </w:p>
        </w:tc>
        <w:tc>
          <w:tcPr>
            <w:tcW w:w="2126" w:type="dxa"/>
          </w:tcPr>
          <w:p w:rsidR="006E1A40" w:rsidRPr="006E1A40" w:rsidRDefault="00670114" w:rsidP="006E1A40">
            <w:pPr>
              <w:jc w:val="right"/>
              <w:rPr>
                <w:sz w:val="22"/>
                <w:szCs w:val="22"/>
              </w:rPr>
            </w:pPr>
            <w:r w:rsidRPr="00670114">
              <w:rPr>
                <w:sz w:val="22"/>
                <w:szCs w:val="22"/>
              </w:rPr>
              <w:t>493.3</w:t>
            </w:r>
          </w:p>
        </w:tc>
        <w:tc>
          <w:tcPr>
            <w:tcW w:w="1985" w:type="dxa"/>
          </w:tcPr>
          <w:p w:rsidR="006E1A40" w:rsidRPr="006E1A40" w:rsidRDefault="00670114" w:rsidP="006E1A40">
            <w:pPr>
              <w:jc w:val="right"/>
              <w:rPr>
                <w:sz w:val="22"/>
                <w:szCs w:val="22"/>
              </w:rPr>
            </w:pPr>
            <w:r w:rsidRPr="00670114">
              <w:rPr>
                <w:sz w:val="22"/>
                <w:szCs w:val="22"/>
              </w:rPr>
              <w:t>406.0</w:t>
            </w:r>
          </w:p>
        </w:tc>
      </w:tr>
      <w:tr w:rsidR="006E1A40" w:rsidRPr="006E1A40" w:rsidTr="00E465B4">
        <w:tc>
          <w:tcPr>
            <w:tcW w:w="3543" w:type="dxa"/>
          </w:tcPr>
          <w:p w:rsidR="006E1A40" w:rsidRPr="006E1A40" w:rsidRDefault="00670114" w:rsidP="006E1A40">
            <w:pPr>
              <w:rPr>
                <w:b/>
                <w:sz w:val="22"/>
                <w:szCs w:val="22"/>
              </w:rPr>
            </w:pPr>
            <w:r w:rsidRPr="00670114">
              <w:rPr>
                <w:b/>
                <w:sz w:val="22"/>
                <w:szCs w:val="22"/>
              </w:rPr>
              <w:t xml:space="preserve">Total change in assets available  </w:t>
            </w:r>
          </w:p>
        </w:tc>
        <w:tc>
          <w:tcPr>
            <w:tcW w:w="2552" w:type="dxa"/>
          </w:tcPr>
          <w:p w:rsidR="006E1A40" w:rsidRPr="006E1A40" w:rsidRDefault="00670114" w:rsidP="006E1A40">
            <w:pPr>
              <w:jc w:val="right"/>
              <w:rPr>
                <w:sz w:val="22"/>
                <w:szCs w:val="22"/>
              </w:rPr>
            </w:pPr>
            <w:r w:rsidRPr="00670114">
              <w:rPr>
                <w:sz w:val="22"/>
                <w:szCs w:val="22"/>
              </w:rPr>
              <w:t>1,974.4</w:t>
            </w:r>
          </w:p>
        </w:tc>
        <w:tc>
          <w:tcPr>
            <w:tcW w:w="2126" w:type="dxa"/>
          </w:tcPr>
          <w:p w:rsidR="006E1A40" w:rsidRPr="006E1A40" w:rsidRDefault="00670114" w:rsidP="006E1A40">
            <w:pPr>
              <w:jc w:val="right"/>
              <w:rPr>
                <w:sz w:val="22"/>
                <w:szCs w:val="22"/>
              </w:rPr>
            </w:pPr>
            <w:r w:rsidRPr="00670114">
              <w:rPr>
                <w:sz w:val="22"/>
                <w:szCs w:val="22"/>
              </w:rPr>
              <w:t>2,166.2</w:t>
            </w:r>
          </w:p>
        </w:tc>
        <w:tc>
          <w:tcPr>
            <w:tcW w:w="1985" w:type="dxa"/>
          </w:tcPr>
          <w:p w:rsidR="006E1A40" w:rsidRPr="006E1A40" w:rsidRDefault="00670114" w:rsidP="006E1A40">
            <w:pPr>
              <w:jc w:val="right"/>
              <w:rPr>
                <w:sz w:val="22"/>
                <w:szCs w:val="22"/>
              </w:rPr>
            </w:pPr>
            <w:r w:rsidRPr="00670114">
              <w:rPr>
                <w:sz w:val="22"/>
                <w:szCs w:val="22"/>
              </w:rPr>
              <w:t>1,782.8</w:t>
            </w:r>
          </w:p>
        </w:tc>
      </w:tr>
    </w:tbl>
    <w:p w:rsidR="006E1A40" w:rsidRDefault="006E1A40" w:rsidP="006E1A40">
      <w:pPr>
        <w:ind w:left="709"/>
      </w:pPr>
    </w:p>
    <w:p w:rsidR="006E1A40" w:rsidRDefault="006E1A40" w:rsidP="006E1A40">
      <w:pPr>
        <w:pStyle w:val="ListParagraph"/>
        <w:numPr>
          <w:ilvl w:val="0"/>
          <w:numId w:val="50"/>
        </w:numPr>
      </w:pPr>
      <w:r>
        <w:t xml:space="preserve">Credit risk </w:t>
      </w:r>
    </w:p>
    <w:p w:rsidR="006E1A40" w:rsidRDefault="006E1A40" w:rsidP="006E1A40">
      <w:pPr>
        <w:tabs>
          <w:tab w:val="left" w:pos="709"/>
        </w:tabs>
        <w:ind w:left="567" w:hanging="567"/>
      </w:pPr>
      <w:r>
        <w:t xml:space="preserve">    </w:t>
      </w:r>
    </w:p>
    <w:p w:rsidR="006E1A40" w:rsidRDefault="006E1A40" w:rsidP="006E1A40">
      <w:pPr>
        <w:ind w:left="709"/>
      </w:pPr>
      <w: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6E1A40" w:rsidRDefault="006E1A40" w:rsidP="006E1A40">
      <w:pPr>
        <w:ind w:left="709"/>
      </w:pPr>
    </w:p>
    <w:p w:rsidR="00F75A7D" w:rsidRDefault="006E1A40" w:rsidP="006E1A40">
      <w:pPr>
        <w:spacing w:after="240"/>
        <w:ind w:left="720"/>
        <w:jc w:val="both"/>
        <w:rPr>
          <w:szCs w:val="24"/>
        </w:rPr>
      </w:pPr>
      <w:r>
        <w:t>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w:t>
      </w:r>
    </w:p>
    <w:p w:rsidR="006E1A40" w:rsidRDefault="006E1A40" w:rsidP="006E1A40">
      <w:pPr>
        <w:ind w:left="709"/>
      </w:pPr>
      <w:r>
        <w:t xml:space="preserve">Contractual credit risk is represented by the net payment or receipts that remain outstanding, and the cost of replacing the derivatives position in the event of a counterparty default.  The residual risk is minimal due to the various insurance policies held by the exchanges to cover defaulting counterparties. </w:t>
      </w:r>
    </w:p>
    <w:p w:rsidR="006E1A40" w:rsidRDefault="006E1A40" w:rsidP="006E1A40">
      <w:pPr>
        <w:ind w:left="709"/>
      </w:pPr>
    </w:p>
    <w:p w:rsidR="006E1A40" w:rsidRDefault="006E1A40" w:rsidP="006E1A40">
      <w:pPr>
        <w:ind w:left="709"/>
      </w:pPr>
      <w:r>
        <w:t xml:space="preserve">Credit risk on over-the-counter derivatives contracts is minimised as counterparties are recognised financial intermediaries with acceptable credit ratings determined by a recognised rating agency. </w:t>
      </w:r>
    </w:p>
    <w:p w:rsidR="006E1A40" w:rsidRDefault="006E1A40" w:rsidP="006E1A40">
      <w:pPr>
        <w:ind w:left="709"/>
      </w:pPr>
    </w:p>
    <w:p w:rsidR="006E1A40" w:rsidRDefault="006E1A40" w:rsidP="006E1A40">
      <w:pPr>
        <w:ind w:left="709"/>
      </w:pPr>
      <w:r>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6E1A40" w:rsidRDefault="006E1A40" w:rsidP="006E1A40">
      <w:pPr>
        <w:ind w:left="709"/>
      </w:pPr>
    </w:p>
    <w:p w:rsidR="006E1A40" w:rsidRDefault="006E1A40" w:rsidP="006E1A40">
      <w:pPr>
        <w:ind w:left="709"/>
      </w:pPr>
      <w:r>
        <w:t>The Fund's cash holding under its treasury management arrangements at 31</w:t>
      </w:r>
      <w:r w:rsidRPr="004F28AC">
        <w:rPr>
          <w:vertAlign w:val="superscript"/>
        </w:rPr>
        <w:t>st</w:t>
      </w:r>
      <w:r>
        <w:t xml:space="preserve"> March 2013 was £170.5m (31 March 2012: £126.8m.)  This was held with the following institutions:   </w:t>
      </w:r>
    </w:p>
    <w:p w:rsidR="006E1A40" w:rsidRDefault="006E1A40" w:rsidP="006E1A40">
      <w:pPr>
        <w:ind w:left="709"/>
      </w:pPr>
      <w:r>
        <w:t xml:space="preserve"> </w:t>
      </w:r>
    </w:p>
    <w:tbl>
      <w:tblPr>
        <w:tblStyle w:val="TableGrid"/>
        <w:tblW w:w="0" w:type="auto"/>
        <w:tblInd w:w="709" w:type="dxa"/>
        <w:tblLook w:val="04A0"/>
      </w:tblPr>
      <w:tblGrid>
        <w:gridCol w:w="4521"/>
        <w:gridCol w:w="1248"/>
        <w:gridCol w:w="1925"/>
        <w:gridCol w:w="2181"/>
      </w:tblGrid>
      <w:tr w:rsidR="006E1A40" w:rsidTr="006E1A40">
        <w:tc>
          <w:tcPr>
            <w:tcW w:w="4582" w:type="dxa"/>
          </w:tcPr>
          <w:p w:rsidR="006E1A40" w:rsidRDefault="006E1A40" w:rsidP="006E1A40">
            <w:r>
              <w:t xml:space="preserve">Summary </w:t>
            </w:r>
          </w:p>
        </w:tc>
        <w:tc>
          <w:tcPr>
            <w:tcW w:w="1254" w:type="dxa"/>
          </w:tcPr>
          <w:p w:rsidR="006E1A40" w:rsidRDefault="006E1A40" w:rsidP="006E1A40">
            <w:r>
              <w:t xml:space="preserve">Rating </w:t>
            </w:r>
          </w:p>
        </w:tc>
        <w:tc>
          <w:tcPr>
            <w:tcW w:w="1938" w:type="dxa"/>
          </w:tcPr>
          <w:p w:rsidR="006E1A40" w:rsidRDefault="006E1A40" w:rsidP="006E1A40">
            <w:r>
              <w:t xml:space="preserve">Balances as at </w:t>
            </w:r>
          </w:p>
          <w:p w:rsidR="006E1A40" w:rsidRDefault="006E1A40" w:rsidP="006E1A40">
            <w:r>
              <w:t xml:space="preserve">31 March 2013 </w:t>
            </w:r>
          </w:p>
        </w:tc>
        <w:tc>
          <w:tcPr>
            <w:tcW w:w="2199" w:type="dxa"/>
          </w:tcPr>
          <w:p w:rsidR="006E1A40" w:rsidRDefault="006E1A40" w:rsidP="006E1A40">
            <w:r>
              <w:t xml:space="preserve">Balances as at </w:t>
            </w:r>
          </w:p>
          <w:p w:rsidR="006E1A40" w:rsidRDefault="006E1A40" w:rsidP="006E1A40">
            <w:r>
              <w:t>31 March 2012</w:t>
            </w:r>
          </w:p>
        </w:tc>
      </w:tr>
      <w:tr w:rsidR="006E1A40" w:rsidTr="006E1A40">
        <w:tc>
          <w:tcPr>
            <w:tcW w:w="4582" w:type="dxa"/>
          </w:tcPr>
          <w:p w:rsidR="006E1A40" w:rsidRDefault="006E1A40" w:rsidP="006E1A40"/>
        </w:tc>
        <w:tc>
          <w:tcPr>
            <w:tcW w:w="1254" w:type="dxa"/>
          </w:tcPr>
          <w:p w:rsidR="006E1A40" w:rsidRDefault="006E1A40" w:rsidP="006E1A40"/>
        </w:tc>
        <w:tc>
          <w:tcPr>
            <w:tcW w:w="1938" w:type="dxa"/>
          </w:tcPr>
          <w:p w:rsidR="006E1A40" w:rsidRDefault="006E1A40" w:rsidP="006E1A40">
            <w:pPr>
              <w:jc w:val="right"/>
            </w:pPr>
            <w:r>
              <w:t>£m</w:t>
            </w:r>
          </w:p>
        </w:tc>
        <w:tc>
          <w:tcPr>
            <w:tcW w:w="2199" w:type="dxa"/>
          </w:tcPr>
          <w:p w:rsidR="006E1A40" w:rsidRDefault="006E1A40" w:rsidP="006E1A40">
            <w:pPr>
              <w:jc w:val="right"/>
            </w:pPr>
            <w:r>
              <w:t>£m</w:t>
            </w:r>
          </w:p>
        </w:tc>
      </w:tr>
      <w:tr w:rsidR="006E1A40" w:rsidTr="006E1A40">
        <w:tc>
          <w:tcPr>
            <w:tcW w:w="4582" w:type="dxa"/>
          </w:tcPr>
          <w:p w:rsidR="006E1A40" w:rsidRPr="0031114B" w:rsidRDefault="006E1A40" w:rsidP="006E1A40">
            <w:pPr>
              <w:rPr>
                <w:b/>
              </w:rPr>
            </w:pPr>
            <w:r>
              <w:rPr>
                <w:b/>
              </w:rPr>
              <w:t xml:space="preserve">Bank deposit accounts </w:t>
            </w:r>
          </w:p>
        </w:tc>
        <w:tc>
          <w:tcPr>
            <w:tcW w:w="1254" w:type="dxa"/>
          </w:tcPr>
          <w:p w:rsidR="006E1A40" w:rsidRDefault="006E1A40" w:rsidP="006E1A40"/>
        </w:tc>
        <w:tc>
          <w:tcPr>
            <w:tcW w:w="1938" w:type="dxa"/>
          </w:tcPr>
          <w:p w:rsidR="006E1A40" w:rsidRDefault="006E1A40" w:rsidP="006E1A40"/>
        </w:tc>
        <w:tc>
          <w:tcPr>
            <w:tcW w:w="2199" w:type="dxa"/>
          </w:tcPr>
          <w:p w:rsidR="006E1A40" w:rsidRDefault="006E1A40" w:rsidP="006E1A40"/>
        </w:tc>
      </w:tr>
      <w:tr w:rsidR="006E1A40" w:rsidTr="006E1A40">
        <w:tc>
          <w:tcPr>
            <w:tcW w:w="4582" w:type="dxa"/>
          </w:tcPr>
          <w:p w:rsidR="006E1A40" w:rsidRPr="00ED6F0C" w:rsidRDefault="006E1A40" w:rsidP="006E1A40">
            <w:r w:rsidRPr="00ED6F0C">
              <w:t xml:space="preserve">Ulster Bank </w:t>
            </w:r>
          </w:p>
        </w:tc>
        <w:tc>
          <w:tcPr>
            <w:tcW w:w="1254" w:type="dxa"/>
          </w:tcPr>
          <w:p w:rsidR="006E1A40" w:rsidRPr="00ED6F0C" w:rsidRDefault="006E1A40" w:rsidP="006E1A40">
            <w:pPr>
              <w:jc w:val="center"/>
            </w:pPr>
            <w:r w:rsidRPr="00ED6F0C">
              <w:t>Baa2</w:t>
            </w:r>
          </w:p>
        </w:tc>
        <w:tc>
          <w:tcPr>
            <w:tcW w:w="1938" w:type="dxa"/>
          </w:tcPr>
          <w:p w:rsidR="006E1A40" w:rsidRPr="007B762E" w:rsidRDefault="006E1A40" w:rsidP="006E1A40">
            <w:pPr>
              <w:jc w:val="right"/>
              <w:rPr>
                <w:highlight w:val="yellow"/>
              </w:rPr>
            </w:pPr>
            <w:r w:rsidRPr="00ED6F0C">
              <w:t>5.0</w:t>
            </w:r>
          </w:p>
        </w:tc>
        <w:tc>
          <w:tcPr>
            <w:tcW w:w="2199" w:type="dxa"/>
          </w:tcPr>
          <w:p w:rsidR="006E1A40" w:rsidRDefault="006E1A40" w:rsidP="006E1A40">
            <w:pPr>
              <w:jc w:val="right"/>
            </w:pPr>
            <w:r>
              <w:t>5.0</w:t>
            </w:r>
          </w:p>
        </w:tc>
      </w:tr>
      <w:tr w:rsidR="006E1A40" w:rsidTr="006E1A40">
        <w:tc>
          <w:tcPr>
            <w:tcW w:w="4582" w:type="dxa"/>
          </w:tcPr>
          <w:p w:rsidR="006E1A40" w:rsidRPr="009A76C9" w:rsidRDefault="006E1A40" w:rsidP="006E1A40">
            <w:pPr>
              <w:rPr>
                <w:highlight w:val="yellow"/>
              </w:rPr>
            </w:pPr>
            <w:r w:rsidRPr="00ED6F0C">
              <w:t>Northern Trust</w:t>
            </w:r>
          </w:p>
        </w:tc>
        <w:tc>
          <w:tcPr>
            <w:tcW w:w="1254" w:type="dxa"/>
          </w:tcPr>
          <w:p w:rsidR="006E1A40" w:rsidRPr="00851F51" w:rsidRDefault="006E1A40" w:rsidP="006E1A40">
            <w:pPr>
              <w:jc w:val="center"/>
            </w:pPr>
            <w:r w:rsidRPr="00851F51">
              <w:t>A1</w:t>
            </w:r>
          </w:p>
        </w:tc>
        <w:tc>
          <w:tcPr>
            <w:tcW w:w="1938" w:type="dxa"/>
          </w:tcPr>
          <w:p w:rsidR="006E1A40" w:rsidRPr="00851F51" w:rsidRDefault="006E1A40" w:rsidP="006E1A40">
            <w:pPr>
              <w:jc w:val="right"/>
            </w:pPr>
            <w:r w:rsidRPr="00851F51">
              <w:t>75.</w:t>
            </w:r>
            <w:r>
              <w:t>0</w:t>
            </w:r>
          </w:p>
        </w:tc>
        <w:tc>
          <w:tcPr>
            <w:tcW w:w="2199" w:type="dxa"/>
          </w:tcPr>
          <w:p w:rsidR="006E1A40" w:rsidRDefault="006E1A40" w:rsidP="006E1A40">
            <w:pPr>
              <w:jc w:val="right"/>
            </w:pPr>
            <w:r>
              <w:t>51.7</w:t>
            </w:r>
          </w:p>
        </w:tc>
      </w:tr>
      <w:tr w:rsidR="006E1A40" w:rsidTr="006E1A40">
        <w:tc>
          <w:tcPr>
            <w:tcW w:w="4582" w:type="dxa"/>
          </w:tcPr>
          <w:p w:rsidR="006E1A40" w:rsidRPr="0031114B" w:rsidRDefault="006E1A40" w:rsidP="006E1A40">
            <w:pPr>
              <w:rPr>
                <w:b/>
              </w:rPr>
            </w:pPr>
            <w:r w:rsidRPr="00ED6F0C">
              <w:lastRenderedPageBreak/>
              <w:t>Bank of Scotland</w:t>
            </w:r>
          </w:p>
        </w:tc>
        <w:tc>
          <w:tcPr>
            <w:tcW w:w="1254" w:type="dxa"/>
          </w:tcPr>
          <w:p w:rsidR="006E1A40" w:rsidRDefault="006E1A40" w:rsidP="006E1A40">
            <w:pPr>
              <w:jc w:val="center"/>
            </w:pPr>
            <w:r>
              <w:t>A2</w:t>
            </w:r>
          </w:p>
        </w:tc>
        <w:tc>
          <w:tcPr>
            <w:tcW w:w="1938" w:type="dxa"/>
          </w:tcPr>
          <w:p w:rsidR="006E1A40" w:rsidRDefault="006E1A40" w:rsidP="006E1A40">
            <w:pPr>
              <w:jc w:val="right"/>
            </w:pPr>
            <w:r>
              <w:t>50.0</w:t>
            </w:r>
          </w:p>
        </w:tc>
        <w:tc>
          <w:tcPr>
            <w:tcW w:w="2199" w:type="dxa"/>
          </w:tcPr>
          <w:p w:rsidR="006E1A40" w:rsidRDefault="006E1A40" w:rsidP="006E1A40">
            <w:pPr>
              <w:jc w:val="right"/>
            </w:pPr>
            <w:r>
              <w:t>-</w:t>
            </w:r>
          </w:p>
        </w:tc>
      </w:tr>
      <w:tr w:rsidR="006E1A40" w:rsidTr="006E1A40">
        <w:tc>
          <w:tcPr>
            <w:tcW w:w="4582" w:type="dxa"/>
          </w:tcPr>
          <w:p w:rsidR="006E1A40" w:rsidRPr="0031114B" w:rsidRDefault="006E1A40" w:rsidP="006E1A40">
            <w:pPr>
              <w:rPr>
                <w:b/>
              </w:rPr>
            </w:pPr>
            <w:r w:rsidRPr="0031114B">
              <w:rPr>
                <w:b/>
              </w:rPr>
              <w:t xml:space="preserve">Bank Current Accounts </w:t>
            </w:r>
          </w:p>
        </w:tc>
        <w:tc>
          <w:tcPr>
            <w:tcW w:w="1254" w:type="dxa"/>
          </w:tcPr>
          <w:p w:rsidR="006E1A40" w:rsidRDefault="006E1A40" w:rsidP="006E1A40">
            <w:pPr>
              <w:jc w:val="center"/>
            </w:pPr>
          </w:p>
        </w:tc>
        <w:tc>
          <w:tcPr>
            <w:tcW w:w="1938" w:type="dxa"/>
          </w:tcPr>
          <w:p w:rsidR="006E1A40" w:rsidRDefault="006E1A40" w:rsidP="006E1A40">
            <w:pPr>
              <w:jc w:val="right"/>
            </w:pPr>
          </w:p>
        </w:tc>
        <w:tc>
          <w:tcPr>
            <w:tcW w:w="2199" w:type="dxa"/>
          </w:tcPr>
          <w:p w:rsidR="006E1A40" w:rsidRDefault="006E1A40" w:rsidP="006E1A40"/>
        </w:tc>
      </w:tr>
      <w:tr w:rsidR="006E1A40" w:rsidTr="006E1A40">
        <w:tc>
          <w:tcPr>
            <w:tcW w:w="4582" w:type="dxa"/>
          </w:tcPr>
          <w:p w:rsidR="006E1A40" w:rsidRPr="00ED6F0C" w:rsidRDefault="006E1A40" w:rsidP="006E1A40">
            <w:r w:rsidRPr="00ED6F0C">
              <w:t>NatWest Account</w:t>
            </w:r>
          </w:p>
        </w:tc>
        <w:tc>
          <w:tcPr>
            <w:tcW w:w="1254" w:type="dxa"/>
          </w:tcPr>
          <w:p w:rsidR="006E1A40" w:rsidRPr="00ED6F0C" w:rsidRDefault="006E1A40" w:rsidP="006E1A40">
            <w:pPr>
              <w:jc w:val="center"/>
            </w:pPr>
            <w:r w:rsidRPr="00ED6F0C">
              <w:t>A3</w:t>
            </w:r>
          </w:p>
        </w:tc>
        <w:tc>
          <w:tcPr>
            <w:tcW w:w="1938" w:type="dxa"/>
          </w:tcPr>
          <w:p w:rsidR="006E1A40" w:rsidRDefault="006E1A40" w:rsidP="006E1A40">
            <w:pPr>
              <w:jc w:val="right"/>
            </w:pPr>
            <w:r>
              <w:t>40.5</w:t>
            </w:r>
          </w:p>
        </w:tc>
        <w:tc>
          <w:tcPr>
            <w:tcW w:w="2199" w:type="dxa"/>
          </w:tcPr>
          <w:p w:rsidR="006E1A40" w:rsidRDefault="006E1A40" w:rsidP="006E1A40">
            <w:pPr>
              <w:jc w:val="right"/>
            </w:pPr>
            <w:r>
              <w:t>70.1</w:t>
            </w:r>
          </w:p>
        </w:tc>
      </w:tr>
      <w:tr w:rsidR="006E1A40" w:rsidTr="006E1A40">
        <w:tc>
          <w:tcPr>
            <w:tcW w:w="4582" w:type="dxa"/>
          </w:tcPr>
          <w:p w:rsidR="006E1A40" w:rsidRPr="0031114B" w:rsidRDefault="006E1A40" w:rsidP="006E1A40">
            <w:pPr>
              <w:rPr>
                <w:b/>
              </w:rPr>
            </w:pPr>
            <w:r w:rsidRPr="0031114B">
              <w:rPr>
                <w:b/>
              </w:rPr>
              <w:t xml:space="preserve">Total </w:t>
            </w:r>
          </w:p>
        </w:tc>
        <w:tc>
          <w:tcPr>
            <w:tcW w:w="1254" w:type="dxa"/>
          </w:tcPr>
          <w:p w:rsidR="006E1A40" w:rsidRDefault="006E1A40" w:rsidP="006E1A40"/>
        </w:tc>
        <w:tc>
          <w:tcPr>
            <w:tcW w:w="1938" w:type="dxa"/>
          </w:tcPr>
          <w:p w:rsidR="006E1A40" w:rsidRPr="00234983" w:rsidRDefault="006E1A40" w:rsidP="006E1A40">
            <w:pPr>
              <w:jc w:val="right"/>
              <w:rPr>
                <w:b/>
              </w:rPr>
            </w:pPr>
            <w:r>
              <w:rPr>
                <w:b/>
              </w:rPr>
              <w:t>170.5</w:t>
            </w:r>
          </w:p>
        </w:tc>
        <w:tc>
          <w:tcPr>
            <w:tcW w:w="2199" w:type="dxa"/>
          </w:tcPr>
          <w:p w:rsidR="006E1A40" w:rsidRPr="00FD72A9" w:rsidRDefault="006E1A40" w:rsidP="006E1A40">
            <w:pPr>
              <w:jc w:val="right"/>
              <w:rPr>
                <w:b/>
              </w:rPr>
            </w:pPr>
            <w:r>
              <w:rPr>
                <w:b/>
              </w:rPr>
              <w:t>12</w:t>
            </w:r>
            <w:r w:rsidRPr="00FD72A9">
              <w:rPr>
                <w:b/>
              </w:rPr>
              <w:t>6.</w:t>
            </w:r>
            <w:r>
              <w:rPr>
                <w:b/>
              </w:rPr>
              <w:t>8</w:t>
            </w:r>
          </w:p>
        </w:tc>
      </w:tr>
    </w:tbl>
    <w:p w:rsidR="006E1A40" w:rsidRDefault="006E1A40" w:rsidP="006E1A40">
      <w:pPr>
        <w:ind w:left="709"/>
      </w:pPr>
    </w:p>
    <w:p w:rsidR="006E1A40" w:rsidRPr="0054203A" w:rsidRDefault="006E1A40" w:rsidP="006E1A40">
      <w:pPr>
        <w:pStyle w:val="ListParagraph"/>
        <w:numPr>
          <w:ilvl w:val="0"/>
          <w:numId w:val="51"/>
        </w:numPr>
      </w:pPr>
      <w:r w:rsidRPr="0054203A">
        <w:t>Liquidity risks</w:t>
      </w:r>
    </w:p>
    <w:p w:rsidR="006E1A40" w:rsidRDefault="006E1A40" w:rsidP="006E1A40">
      <w:pPr>
        <w:ind w:left="709"/>
      </w:pPr>
    </w:p>
    <w:p w:rsidR="006E1A40" w:rsidRDefault="006E1A40" w:rsidP="006E1A40">
      <w:pPr>
        <w:ind w:left="709"/>
      </w:pPr>
      <w:r>
        <w:t xml:space="preserve">Liquidity risk represents the risk that the Fund will not be able to meet its financial obligations as they fall due.  The Fund therefore takes steps to ensure that there are adequate cash resources to meet its commitments. </w:t>
      </w:r>
    </w:p>
    <w:p w:rsidR="006E1A40" w:rsidRDefault="006E1A40" w:rsidP="006E1A40">
      <w:pPr>
        <w:ind w:left="709"/>
      </w:pPr>
    </w:p>
    <w:p w:rsidR="006E1A40" w:rsidRDefault="006E1A40" w:rsidP="006E1A40">
      <w:pPr>
        <w:ind w:left="709"/>
      </w:pPr>
      <w:r>
        <w:t xml:space="preserve">The Fund has immediate access to its cash holdings. </w:t>
      </w:r>
    </w:p>
    <w:p w:rsidR="006E1A40" w:rsidRDefault="006E1A40" w:rsidP="006E1A40">
      <w:pPr>
        <w:ind w:left="709"/>
      </w:pPr>
    </w:p>
    <w:p w:rsidR="006E1A40" w:rsidRDefault="006E1A40" w:rsidP="006E1A40">
      <w:pPr>
        <w:ind w:left="709"/>
      </w:pPr>
      <w:r>
        <w:t xml:space="preserve">Management prepares periodic cash flow forecasts to understand and manage the timing of the Fund's cash flow.  The appropriate strategic level of cash balances to be held forms part of the Funds investment strategy. </w:t>
      </w:r>
    </w:p>
    <w:p w:rsidR="006E1A40" w:rsidRDefault="006E1A40" w:rsidP="006E1A40">
      <w:pPr>
        <w:ind w:left="709"/>
      </w:pPr>
    </w:p>
    <w:p w:rsidR="006E1A40" w:rsidRDefault="006E1A40" w:rsidP="006E1A40">
      <w:pPr>
        <w:ind w:left="709"/>
      </w:pPr>
      <w:r>
        <w:t xml:space="preserve">All financial liabilities at 31 March 2013 are due within the one year. </w:t>
      </w:r>
    </w:p>
    <w:p w:rsidR="006E1A40" w:rsidRDefault="006E1A40" w:rsidP="006E1A40">
      <w:pPr>
        <w:ind w:left="709"/>
      </w:pPr>
    </w:p>
    <w:p w:rsidR="00897DBF" w:rsidRDefault="006E1A40">
      <w:pPr>
        <w:pStyle w:val="ListParagraph"/>
        <w:numPr>
          <w:ilvl w:val="0"/>
          <w:numId w:val="51"/>
        </w:numPr>
        <w:rPr>
          <w:b/>
        </w:rPr>
      </w:pPr>
      <w:r w:rsidRPr="00F75B5C">
        <w:t xml:space="preserve">Refinancing risk </w:t>
      </w:r>
    </w:p>
    <w:p w:rsidR="00897DBF" w:rsidRDefault="00897DBF">
      <w:pPr>
        <w:pStyle w:val="ListParagraph"/>
        <w:ind w:left="709"/>
        <w:rPr>
          <w:b/>
        </w:rPr>
      </w:pPr>
    </w:p>
    <w:p w:rsidR="006E1A40" w:rsidRDefault="006E1A40" w:rsidP="006E1A40">
      <w:pPr>
        <w:ind w:left="709"/>
      </w:pPr>
      <w:r>
        <w:t xml:space="preserve">The Fund does not have any financial instruments that have a refinancing risk as part of its treasury management and investment strategies. </w:t>
      </w:r>
    </w:p>
    <w:p w:rsidR="00100128" w:rsidRDefault="00100128" w:rsidP="006E1A40">
      <w:pPr>
        <w:ind w:left="709"/>
      </w:pPr>
    </w:p>
    <w:p w:rsidR="003056E9" w:rsidRDefault="003056E9" w:rsidP="00F332F8">
      <w:pPr>
        <w:spacing w:after="240"/>
        <w:ind w:left="720"/>
        <w:jc w:val="both"/>
        <w:rPr>
          <w:szCs w:val="24"/>
        </w:rPr>
      </w:pPr>
    </w:p>
    <w:p w:rsidR="006E1A40" w:rsidRPr="0023630F" w:rsidRDefault="006E1A40" w:rsidP="006E1A40">
      <w:pPr>
        <w:numPr>
          <w:ilvl w:val="0"/>
          <w:numId w:val="2"/>
        </w:numPr>
        <w:tabs>
          <w:tab w:val="clear" w:pos="720"/>
          <w:tab w:val="num" w:pos="709"/>
        </w:tabs>
        <w:spacing w:after="120"/>
        <w:ind w:left="862"/>
        <w:rPr>
          <w:szCs w:val="24"/>
        </w:rPr>
      </w:pPr>
      <w:r>
        <w:rPr>
          <w:b/>
          <w:szCs w:val="24"/>
        </w:rPr>
        <w:t>A</w:t>
      </w:r>
      <w:r w:rsidRPr="00DB3FF9">
        <w:rPr>
          <w:b/>
          <w:szCs w:val="24"/>
        </w:rPr>
        <w:t>dditional Voluntary Contributions (AVC’s)</w:t>
      </w:r>
    </w:p>
    <w:p w:rsidR="006E1A40" w:rsidRDefault="006E1A40" w:rsidP="006E1A40">
      <w:pPr>
        <w:pStyle w:val="BodyTextIndent"/>
        <w:tabs>
          <w:tab w:val="clear" w:pos="1080"/>
          <w:tab w:val="left" w:pos="709"/>
        </w:tabs>
        <w:spacing w:after="0"/>
        <w:ind w:left="709"/>
        <w:rPr>
          <w:szCs w:val="24"/>
        </w:rPr>
      </w:pPr>
      <w:r w:rsidRPr="00166665">
        <w:rPr>
          <w:szCs w:val="24"/>
        </w:rPr>
        <w:t xml:space="preserve">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w:t>
      </w:r>
      <w:smartTag w:uri="urn:schemas-microsoft-com:office:smarttags" w:element="stockticker">
        <w:r w:rsidRPr="00166665">
          <w:rPr>
            <w:szCs w:val="24"/>
          </w:rPr>
          <w:t>AVC</w:t>
        </w:r>
      </w:smartTag>
      <w:r w:rsidRPr="00166665">
        <w:rPr>
          <w:szCs w:val="24"/>
        </w:rPr>
        <w:t xml:space="preserve"> providers).  The figures relate to the financial year 1 April 20</w:t>
      </w:r>
      <w:r>
        <w:rPr>
          <w:szCs w:val="24"/>
        </w:rPr>
        <w:t>12</w:t>
      </w:r>
      <w:r w:rsidRPr="00166665">
        <w:rPr>
          <w:szCs w:val="24"/>
        </w:rPr>
        <w:t xml:space="preserve"> to 31 March 201</w:t>
      </w:r>
      <w:r>
        <w:rPr>
          <w:szCs w:val="24"/>
        </w:rPr>
        <w:t>3</w:t>
      </w:r>
      <w:r w:rsidRPr="00166665">
        <w:rPr>
          <w:szCs w:val="24"/>
        </w:rPr>
        <w:t xml:space="preserve"> for Prudential </w:t>
      </w:r>
      <w:r>
        <w:rPr>
          <w:szCs w:val="24"/>
        </w:rPr>
        <w:t xml:space="preserve">and </w:t>
      </w:r>
      <w:r w:rsidRPr="00166665">
        <w:rPr>
          <w:szCs w:val="24"/>
        </w:rPr>
        <w:t>1 September 20</w:t>
      </w:r>
      <w:r>
        <w:rPr>
          <w:szCs w:val="24"/>
        </w:rPr>
        <w:t xml:space="preserve">11 </w:t>
      </w:r>
      <w:r w:rsidRPr="00166665">
        <w:rPr>
          <w:szCs w:val="24"/>
        </w:rPr>
        <w:t>to 31 August 20</w:t>
      </w:r>
      <w:r>
        <w:rPr>
          <w:szCs w:val="24"/>
        </w:rPr>
        <w:t>12</w:t>
      </w:r>
      <w:r w:rsidRPr="00166665">
        <w:rPr>
          <w:szCs w:val="24"/>
        </w:rPr>
        <w:t xml:space="preserve"> for Equitable Life.</w:t>
      </w:r>
    </w:p>
    <w:p w:rsidR="006E1A40" w:rsidRDefault="006E1A40" w:rsidP="006E1A40">
      <w:pPr>
        <w:pStyle w:val="BodyTextIndent"/>
        <w:tabs>
          <w:tab w:val="clear" w:pos="1080"/>
          <w:tab w:val="left" w:pos="709"/>
        </w:tabs>
        <w:spacing w:after="0"/>
        <w:ind w:left="709"/>
        <w:rPr>
          <w:szCs w:val="24"/>
        </w:rPr>
      </w:pPr>
    </w:p>
    <w:p w:rsidR="003444A0" w:rsidRDefault="003444A0" w:rsidP="006E1A40">
      <w:pPr>
        <w:pStyle w:val="BodyTextIndent"/>
        <w:tabs>
          <w:tab w:val="clear" w:pos="1080"/>
          <w:tab w:val="left" w:pos="709"/>
        </w:tabs>
        <w:spacing w:after="0"/>
        <w:ind w:left="709"/>
        <w:rPr>
          <w:szCs w:val="24"/>
        </w:rPr>
      </w:pPr>
    </w:p>
    <w:p w:rsidR="003444A0" w:rsidRDefault="003444A0" w:rsidP="006E1A40">
      <w:pPr>
        <w:pStyle w:val="BodyTextIndent"/>
        <w:tabs>
          <w:tab w:val="clear" w:pos="1080"/>
          <w:tab w:val="left" w:pos="709"/>
        </w:tabs>
        <w:spacing w:after="0"/>
        <w:ind w:left="709"/>
        <w:rPr>
          <w:szCs w:val="24"/>
        </w:rPr>
      </w:pPr>
    </w:p>
    <w:p w:rsidR="006E1A40" w:rsidRDefault="006E1A40" w:rsidP="006E1A40">
      <w:pPr>
        <w:pStyle w:val="BodyTextIndent"/>
        <w:tabs>
          <w:tab w:val="clear" w:pos="1080"/>
          <w:tab w:val="left" w:pos="709"/>
        </w:tabs>
        <w:spacing w:after="0"/>
        <w:ind w:left="709"/>
        <w:rPr>
          <w:szCs w:val="24"/>
        </w:rPr>
      </w:pPr>
      <w:r w:rsidRPr="00CD28F8">
        <w:rPr>
          <w:b/>
          <w:szCs w:val="24"/>
        </w:rPr>
        <w:t>Additional Voluntary Contributions</w:t>
      </w:r>
    </w:p>
    <w:tbl>
      <w:tblPr>
        <w:tblStyle w:val="TableGrid"/>
        <w:tblW w:w="101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843"/>
        <w:gridCol w:w="236"/>
        <w:gridCol w:w="1465"/>
        <w:gridCol w:w="236"/>
        <w:gridCol w:w="1283"/>
      </w:tblGrid>
      <w:tr w:rsidR="006E1A40" w:rsidTr="006E1A40">
        <w:tc>
          <w:tcPr>
            <w:tcW w:w="5058" w:type="dxa"/>
          </w:tcPr>
          <w:p w:rsidR="006E1A40" w:rsidRDefault="006E1A40" w:rsidP="006E1A40">
            <w:pPr>
              <w:rPr>
                <w:b/>
                <w:szCs w:val="24"/>
              </w:rPr>
            </w:pPr>
          </w:p>
        </w:tc>
        <w:tc>
          <w:tcPr>
            <w:tcW w:w="1843" w:type="dxa"/>
          </w:tcPr>
          <w:p w:rsidR="006E1A40" w:rsidRDefault="006E1A40" w:rsidP="006E1A40">
            <w:pPr>
              <w:jc w:val="right"/>
              <w:rPr>
                <w:b/>
                <w:szCs w:val="24"/>
              </w:rPr>
            </w:pPr>
            <w:r>
              <w:rPr>
                <w:b/>
                <w:szCs w:val="24"/>
              </w:rPr>
              <w:t>Equitable life</w:t>
            </w:r>
          </w:p>
          <w:p w:rsidR="006E1A40" w:rsidRDefault="006E1A40" w:rsidP="006E1A40">
            <w:pPr>
              <w:jc w:val="right"/>
              <w:rPr>
                <w:b/>
                <w:szCs w:val="24"/>
              </w:rPr>
            </w:pPr>
            <w:r>
              <w:rPr>
                <w:b/>
                <w:szCs w:val="24"/>
              </w:rPr>
              <w:t>£m</w:t>
            </w:r>
          </w:p>
        </w:tc>
        <w:tc>
          <w:tcPr>
            <w:tcW w:w="236" w:type="dxa"/>
            <w:tcBorders>
              <w:right w:val="single" w:sz="18" w:space="0" w:color="FFFFFF" w:themeColor="background1"/>
            </w:tcBorders>
          </w:tcPr>
          <w:p w:rsidR="006E1A40" w:rsidRDefault="006E1A40" w:rsidP="006E1A40">
            <w:pPr>
              <w:jc w:val="right"/>
              <w:rPr>
                <w:b/>
                <w:szCs w:val="24"/>
              </w:rPr>
            </w:pPr>
          </w:p>
        </w:tc>
        <w:tc>
          <w:tcPr>
            <w:tcW w:w="1465" w:type="dxa"/>
            <w:tcBorders>
              <w:left w:val="single" w:sz="18" w:space="0" w:color="FFFFFF" w:themeColor="background1"/>
            </w:tcBorders>
          </w:tcPr>
          <w:p w:rsidR="006E1A40" w:rsidRDefault="006E1A40" w:rsidP="006E1A40">
            <w:pPr>
              <w:jc w:val="right"/>
              <w:rPr>
                <w:b/>
                <w:szCs w:val="24"/>
              </w:rPr>
            </w:pPr>
            <w:r>
              <w:rPr>
                <w:b/>
                <w:szCs w:val="24"/>
              </w:rPr>
              <w:t>Prudential</w:t>
            </w:r>
          </w:p>
          <w:p w:rsidR="006E1A40" w:rsidRDefault="006E1A40" w:rsidP="006E1A40">
            <w:pPr>
              <w:jc w:val="right"/>
              <w:rPr>
                <w:b/>
                <w:szCs w:val="24"/>
              </w:rPr>
            </w:pPr>
            <w:r>
              <w:rPr>
                <w:b/>
                <w:szCs w:val="24"/>
              </w:rPr>
              <w:t>£m</w:t>
            </w:r>
          </w:p>
        </w:tc>
        <w:tc>
          <w:tcPr>
            <w:tcW w:w="236" w:type="dxa"/>
            <w:tcBorders>
              <w:right w:val="single" w:sz="18" w:space="0" w:color="FFFFFF" w:themeColor="background1"/>
            </w:tcBorders>
          </w:tcPr>
          <w:p w:rsidR="006E1A40" w:rsidRDefault="006E1A40" w:rsidP="006E1A40">
            <w:pPr>
              <w:jc w:val="right"/>
              <w:rPr>
                <w:b/>
                <w:szCs w:val="24"/>
              </w:rPr>
            </w:pPr>
          </w:p>
        </w:tc>
        <w:tc>
          <w:tcPr>
            <w:tcW w:w="1283" w:type="dxa"/>
            <w:tcBorders>
              <w:left w:val="single" w:sz="18" w:space="0" w:color="FFFFFF" w:themeColor="background1"/>
            </w:tcBorders>
          </w:tcPr>
          <w:p w:rsidR="006E1A40" w:rsidRDefault="006E1A40" w:rsidP="006E1A40">
            <w:pPr>
              <w:jc w:val="right"/>
              <w:rPr>
                <w:b/>
                <w:szCs w:val="24"/>
              </w:rPr>
            </w:pPr>
            <w:r>
              <w:rPr>
                <w:b/>
                <w:szCs w:val="24"/>
              </w:rPr>
              <w:t>Total</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Tr="006E1A40">
        <w:tc>
          <w:tcPr>
            <w:tcW w:w="5058" w:type="dxa"/>
          </w:tcPr>
          <w:p w:rsidR="006E1A40" w:rsidRPr="00CD28F8" w:rsidRDefault="006E1A40" w:rsidP="006E1A40">
            <w:pPr>
              <w:rPr>
                <w:szCs w:val="24"/>
              </w:rPr>
            </w:pPr>
            <w:r>
              <w:rPr>
                <w:szCs w:val="24"/>
              </w:rPr>
              <w:t>Value at the start of the year</w:t>
            </w:r>
          </w:p>
        </w:tc>
        <w:tc>
          <w:tcPr>
            <w:tcW w:w="1843" w:type="dxa"/>
          </w:tcPr>
          <w:p w:rsidR="006E1A40" w:rsidRPr="00CD28F8" w:rsidRDefault="006E1A40" w:rsidP="006E1A40">
            <w:pPr>
              <w:spacing w:after="120"/>
              <w:jc w:val="right"/>
              <w:rPr>
                <w:szCs w:val="24"/>
              </w:rPr>
            </w:pPr>
            <w:r w:rsidRPr="00CD28F8">
              <w:rPr>
                <w:szCs w:val="24"/>
              </w:rPr>
              <w:t>1</w:t>
            </w:r>
            <w:r>
              <w:rPr>
                <w:szCs w:val="24"/>
              </w:rPr>
              <w:t>.2</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465" w:type="dxa"/>
            <w:tcBorders>
              <w:left w:val="single" w:sz="18" w:space="0" w:color="FFFFFF" w:themeColor="background1"/>
            </w:tcBorders>
          </w:tcPr>
          <w:p w:rsidR="006E1A40" w:rsidRPr="00CD28F8" w:rsidRDefault="006E1A40" w:rsidP="006E1A40">
            <w:pPr>
              <w:spacing w:after="120"/>
              <w:jc w:val="right"/>
              <w:rPr>
                <w:szCs w:val="24"/>
              </w:rPr>
            </w:pPr>
            <w:r>
              <w:rPr>
                <w:szCs w:val="24"/>
              </w:rPr>
              <w:t>14.2</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283" w:type="dxa"/>
            <w:tcBorders>
              <w:left w:val="single" w:sz="18" w:space="0" w:color="FFFFFF" w:themeColor="background1"/>
            </w:tcBorders>
          </w:tcPr>
          <w:p w:rsidR="006E1A40" w:rsidRPr="00CD28F8" w:rsidRDefault="006E1A40" w:rsidP="006E1A40">
            <w:pPr>
              <w:spacing w:after="120"/>
              <w:jc w:val="right"/>
              <w:rPr>
                <w:szCs w:val="24"/>
              </w:rPr>
            </w:pPr>
            <w:r w:rsidRPr="00CD28F8">
              <w:rPr>
                <w:szCs w:val="24"/>
              </w:rPr>
              <w:t>1</w:t>
            </w:r>
            <w:r>
              <w:rPr>
                <w:szCs w:val="24"/>
              </w:rPr>
              <w:t>5.4</w:t>
            </w:r>
          </w:p>
        </w:tc>
      </w:tr>
      <w:tr w:rsidR="006E1A40" w:rsidTr="006E1A40">
        <w:tc>
          <w:tcPr>
            <w:tcW w:w="5058" w:type="dxa"/>
          </w:tcPr>
          <w:p w:rsidR="006E1A40" w:rsidRDefault="006E1A40" w:rsidP="006E1A40">
            <w:pPr>
              <w:spacing w:after="120"/>
              <w:rPr>
                <w:szCs w:val="24"/>
              </w:rPr>
            </w:pPr>
            <w:r>
              <w:rPr>
                <w:szCs w:val="24"/>
              </w:rPr>
              <w:t>Income (incl. Contributions, bonuses, interest, transfers in)</w:t>
            </w:r>
          </w:p>
        </w:tc>
        <w:tc>
          <w:tcPr>
            <w:tcW w:w="1843" w:type="dxa"/>
          </w:tcPr>
          <w:p w:rsidR="006E1A40" w:rsidRPr="00CD28F8" w:rsidRDefault="006E1A40" w:rsidP="006E1A40">
            <w:pPr>
              <w:spacing w:after="120"/>
              <w:jc w:val="right"/>
              <w:rPr>
                <w:szCs w:val="24"/>
              </w:rPr>
            </w:pPr>
            <w:r>
              <w:rPr>
                <w:szCs w:val="24"/>
              </w:rPr>
              <w:t>0.1</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465" w:type="dxa"/>
            <w:tcBorders>
              <w:left w:val="single" w:sz="18" w:space="0" w:color="FFFFFF" w:themeColor="background1"/>
            </w:tcBorders>
          </w:tcPr>
          <w:p w:rsidR="006E1A40" w:rsidRPr="00CD28F8" w:rsidRDefault="00E73720" w:rsidP="006E1A40">
            <w:pPr>
              <w:spacing w:after="120"/>
              <w:jc w:val="right"/>
              <w:rPr>
                <w:szCs w:val="24"/>
              </w:rPr>
            </w:pPr>
            <w:r>
              <w:rPr>
                <w:szCs w:val="24"/>
              </w:rPr>
              <w:t>4.0</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283" w:type="dxa"/>
            <w:tcBorders>
              <w:left w:val="single" w:sz="18" w:space="0" w:color="FFFFFF" w:themeColor="background1"/>
            </w:tcBorders>
          </w:tcPr>
          <w:p w:rsidR="006E1A40" w:rsidRPr="00CD28F8" w:rsidRDefault="00E73720" w:rsidP="006E1A40">
            <w:pPr>
              <w:spacing w:after="120"/>
              <w:jc w:val="right"/>
              <w:rPr>
                <w:szCs w:val="24"/>
              </w:rPr>
            </w:pPr>
            <w:r>
              <w:rPr>
                <w:szCs w:val="24"/>
              </w:rPr>
              <w:t>4.1</w:t>
            </w:r>
          </w:p>
        </w:tc>
      </w:tr>
      <w:tr w:rsidR="006E1A40" w:rsidTr="006E1A40">
        <w:tc>
          <w:tcPr>
            <w:tcW w:w="5058" w:type="dxa"/>
          </w:tcPr>
          <w:p w:rsidR="006E1A40" w:rsidRDefault="006E1A40" w:rsidP="006E1A40">
            <w:pPr>
              <w:spacing w:after="120"/>
              <w:rPr>
                <w:szCs w:val="24"/>
              </w:rPr>
            </w:pPr>
            <w:r>
              <w:rPr>
                <w:szCs w:val="24"/>
              </w:rPr>
              <w:t>Expenditure (incl. Benefits, transfers out, change in market value)</w:t>
            </w:r>
          </w:p>
        </w:tc>
        <w:tc>
          <w:tcPr>
            <w:tcW w:w="1843" w:type="dxa"/>
            <w:tcBorders>
              <w:bottom w:val="single" w:sz="18" w:space="0" w:color="auto"/>
            </w:tcBorders>
          </w:tcPr>
          <w:p w:rsidR="006E1A40" w:rsidRPr="00CD28F8" w:rsidRDefault="006E1A40" w:rsidP="006E1A40">
            <w:pPr>
              <w:spacing w:after="120"/>
              <w:jc w:val="right"/>
              <w:rPr>
                <w:szCs w:val="24"/>
              </w:rPr>
            </w:pPr>
            <w:r>
              <w:rPr>
                <w:szCs w:val="24"/>
              </w:rPr>
              <w:t>(0.2)</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465" w:type="dxa"/>
            <w:tcBorders>
              <w:left w:val="single" w:sz="18" w:space="0" w:color="FFFFFF" w:themeColor="background1"/>
              <w:bottom w:val="single" w:sz="18" w:space="0" w:color="auto"/>
            </w:tcBorders>
          </w:tcPr>
          <w:p w:rsidR="00104348" w:rsidRDefault="006E1A40">
            <w:pPr>
              <w:spacing w:after="120"/>
              <w:jc w:val="right"/>
              <w:rPr>
                <w:szCs w:val="24"/>
              </w:rPr>
            </w:pPr>
            <w:r>
              <w:rPr>
                <w:szCs w:val="24"/>
              </w:rPr>
              <w:t>(</w:t>
            </w:r>
            <w:r w:rsidR="00E73720">
              <w:rPr>
                <w:szCs w:val="24"/>
              </w:rPr>
              <w:t>2.3</w:t>
            </w:r>
            <w:r>
              <w:rPr>
                <w:szCs w:val="24"/>
              </w:rPr>
              <w:t>)</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283" w:type="dxa"/>
            <w:tcBorders>
              <w:left w:val="single" w:sz="18" w:space="0" w:color="FFFFFF" w:themeColor="background1"/>
              <w:bottom w:val="single" w:sz="18" w:space="0" w:color="auto"/>
            </w:tcBorders>
          </w:tcPr>
          <w:p w:rsidR="00104348" w:rsidRDefault="006E1A40">
            <w:pPr>
              <w:spacing w:after="120"/>
              <w:jc w:val="right"/>
              <w:rPr>
                <w:szCs w:val="24"/>
              </w:rPr>
            </w:pPr>
            <w:r>
              <w:rPr>
                <w:szCs w:val="24"/>
              </w:rPr>
              <w:t>(</w:t>
            </w:r>
            <w:r w:rsidR="00E73720">
              <w:rPr>
                <w:szCs w:val="24"/>
              </w:rPr>
              <w:t>2.5</w:t>
            </w:r>
            <w:r>
              <w:rPr>
                <w:szCs w:val="24"/>
              </w:rPr>
              <w:t>)</w:t>
            </w:r>
          </w:p>
        </w:tc>
      </w:tr>
      <w:tr w:rsidR="006E1A40" w:rsidTr="006E1A40">
        <w:tc>
          <w:tcPr>
            <w:tcW w:w="5058" w:type="dxa"/>
          </w:tcPr>
          <w:p w:rsidR="006E1A40" w:rsidRDefault="006E1A40" w:rsidP="006E1A40">
            <w:pPr>
              <w:rPr>
                <w:szCs w:val="24"/>
              </w:rPr>
            </w:pPr>
            <w:r>
              <w:rPr>
                <w:szCs w:val="24"/>
              </w:rPr>
              <w:t>Value at the end of the year</w:t>
            </w:r>
          </w:p>
        </w:tc>
        <w:tc>
          <w:tcPr>
            <w:tcW w:w="1843" w:type="dxa"/>
            <w:tcBorders>
              <w:top w:val="single" w:sz="18" w:space="0" w:color="auto"/>
              <w:bottom w:val="single" w:sz="18" w:space="0" w:color="auto"/>
            </w:tcBorders>
          </w:tcPr>
          <w:p w:rsidR="006E1A40" w:rsidRPr="00CD28F8" w:rsidRDefault="006E1A40" w:rsidP="006E1A40">
            <w:pPr>
              <w:spacing w:after="120"/>
              <w:jc w:val="right"/>
              <w:rPr>
                <w:szCs w:val="24"/>
              </w:rPr>
            </w:pPr>
            <w:r>
              <w:rPr>
                <w:szCs w:val="24"/>
              </w:rPr>
              <w:t>1.1</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465" w:type="dxa"/>
            <w:tcBorders>
              <w:top w:val="single" w:sz="18" w:space="0" w:color="auto"/>
              <w:left w:val="single" w:sz="18" w:space="0" w:color="FFFFFF" w:themeColor="background1"/>
              <w:bottom w:val="single" w:sz="18" w:space="0" w:color="auto"/>
            </w:tcBorders>
          </w:tcPr>
          <w:p w:rsidR="00104348" w:rsidRDefault="006E1A40">
            <w:pPr>
              <w:spacing w:after="120"/>
              <w:jc w:val="right"/>
              <w:rPr>
                <w:szCs w:val="24"/>
              </w:rPr>
            </w:pPr>
            <w:r>
              <w:rPr>
                <w:szCs w:val="24"/>
              </w:rPr>
              <w:t>15.</w:t>
            </w:r>
            <w:r w:rsidR="00E73720">
              <w:rPr>
                <w:szCs w:val="24"/>
              </w:rPr>
              <w:t>9</w:t>
            </w:r>
          </w:p>
        </w:tc>
        <w:tc>
          <w:tcPr>
            <w:tcW w:w="236" w:type="dxa"/>
            <w:tcBorders>
              <w:right w:val="single" w:sz="18" w:space="0" w:color="FFFFFF" w:themeColor="background1"/>
            </w:tcBorders>
          </w:tcPr>
          <w:p w:rsidR="006E1A40" w:rsidRPr="00CD28F8" w:rsidRDefault="006E1A40" w:rsidP="006E1A40">
            <w:pPr>
              <w:spacing w:after="120"/>
              <w:jc w:val="right"/>
              <w:rPr>
                <w:szCs w:val="24"/>
              </w:rPr>
            </w:pPr>
          </w:p>
        </w:tc>
        <w:tc>
          <w:tcPr>
            <w:tcW w:w="1283" w:type="dxa"/>
            <w:tcBorders>
              <w:top w:val="single" w:sz="18" w:space="0" w:color="auto"/>
              <w:left w:val="single" w:sz="18" w:space="0" w:color="FFFFFF" w:themeColor="background1"/>
              <w:bottom w:val="single" w:sz="18" w:space="0" w:color="auto"/>
            </w:tcBorders>
          </w:tcPr>
          <w:p w:rsidR="006E1A40" w:rsidRPr="00CD28F8" w:rsidRDefault="00E73720" w:rsidP="006E1A40">
            <w:pPr>
              <w:spacing w:after="120"/>
              <w:jc w:val="right"/>
              <w:rPr>
                <w:szCs w:val="24"/>
              </w:rPr>
            </w:pPr>
            <w:r>
              <w:rPr>
                <w:szCs w:val="24"/>
              </w:rPr>
              <w:t>17.0</w:t>
            </w:r>
          </w:p>
        </w:tc>
      </w:tr>
    </w:tbl>
    <w:p w:rsidR="006E1A40" w:rsidRDefault="006E1A40" w:rsidP="006E1A40">
      <w:pPr>
        <w:pStyle w:val="BodyTextIndent"/>
        <w:tabs>
          <w:tab w:val="clear" w:pos="1080"/>
          <w:tab w:val="left" w:pos="709"/>
        </w:tabs>
        <w:spacing w:after="0"/>
        <w:ind w:left="709"/>
        <w:rPr>
          <w:szCs w:val="24"/>
        </w:rPr>
      </w:pPr>
    </w:p>
    <w:p w:rsidR="001C233D" w:rsidRDefault="001C233D" w:rsidP="006E1A40">
      <w:pPr>
        <w:pStyle w:val="BodyTextIndent"/>
        <w:tabs>
          <w:tab w:val="clear" w:pos="1080"/>
          <w:tab w:val="left" w:pos="709"/>
        </w:tabs>
        <w:spacing w:after="0"/>
        <w:ind w:left="709"/>
        <w:rPr>
          <w:szCs w:val="24"/>
        </w:rPr>
      </w:pPr>
    </w:p>
    <w:p w:rsidR="001C233D" w:rsidRDefault="001C233D" w:rsidP="006E1A40">
      <w:pPr>
        <w:pStyle w:val="BodyTextIndent"/>
        <w:tabs>
          <w:tab w:val="clear" w:pos="1080"/>
          <w:tab w:val="left" w:pos="709"/>
        </w:tabs>
        <w:spacing w:after="0"/>
        <w:ind w:left="709"/>
        <w:rPr>
          <w:szCs w:val="24"/>
        </w:rPr>
      </w:pPr>
    </w:p>
    <w:p w:rsidR="006E1A40" w:rsidRPr="00166665" w:rsidRDefault="006E1A40" w:rsidP="006E1A40">
      <w:pPr>
        <w:pStyle w:val="BodyTextIndent"/>
        <w:tabs>
          <w:tab w:val="clear" w:pos="1080"/>
          <w:tab w:val="left" w:pos="709"/>
        </w:tabs>
        <w:spacing w:after="0"/>
        <w:ind w:left="709"/>
        <w:rPr>
          <w:szCs w:val="24"/>
        </w:rPr>
      </w:pPr>
    </w:p>
    <w:p w:rsidR="00897DBF" w:rsidRDefault="006E1A40">
      <w:pPr>
        <w:numPr>
          <w:ilvl w:val="0"/>
          <w:numId w:val="2"/>
        </w:numPr>
        <w:ind w:left="851"/>
        <w:rPr>
          <w:szCs w:val="24"/>
        </w:rPr>
      </w:pPr>
      <w:r w:rsidRPr="00F75B5C">
        <w:rPr>
          <w:b/>
          <w:szCs w:val="24"/>
        </w:rPr>
        <w:t>Investment management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6E1A40" w:rsidTr="006E1A40">
        <w:tc>
          <w:tcPr>
            <w:tcW w:w="5058" w:type="dxa"/>
          </w:tcPr>
          <w:p w:rsidR="006E1A40" w:rsidRDefault="006E1A40" w:rsidP="006E1A40">
            <w:pPr>
              <w:rPr>
                <w:b/>
                <w:szCs w:val="24"/>
              </w:rPr>
            </w:pPr>
          </w:p>
        </w:tc>
        <w:tc>
          <w:tcPr>
            <w:tcW w:w="1559" w:type="dxa"/>
          </w:tcPr>
          <w:p w:rsidR="006E1A40" w:rsidRDefault="006E1A40" w:rsidP="006E1A40">
            <w:pPr>
              <w:jc w:val="right"/>
              <w:rPr>
                <w:b/>
                <w:szCs w:val="24"/>
              </w:rPr>
            </w:pPr>
            <w:r>
              <w:rPr>
                <w:b/>
                <w:szCs w:val="24"/>
              </w:rPr>
              <w:t>2012/13</w:t>
            </w:r>
          </w:p>
          <w:p w:rsidR="006E1A40" w:rsidRDefault="006E1A40" w:rsidP="006E1A40">
            <w:pPr>
              <w:jc w:val="right"/>
              <w:rPr>
                <w:b/>
                <w:szCs w:val="24"/>
              </w:rPr>
            </w:pPr>
            <w:r>
              <w:rPr>
                <w:b/>
                <w:szCs w:val="24"/>
              </w:rPr>
              <w:t>£m</w:t>
            </w:r>
          </w:p>
        </w:tc>
        <w:tc>
          <w:tcPr>
            <w:tcW w:w="430" w:type="dxa"/>
            <w:tcBorders>
              <w:right w:val="single" w:sz="4" w:space="0" w:color="FFFFFF" w:themeColor="background1"/>
            </w:tcBorders>
          </w:tcPr>
          <w:p w:rsidR="006E1A40" w:rsidRDefault="006E1A40" w:rsidP="006E1A40">
            <w:pPr>
              <w:jc w:val="right"/>
              <w:rPr>
                <w:b/>
                <w:szCs w:val="24"/>
              </w:rPr>
            </w:pPr>
          </w:p>
          <w:p w:rsidR="006E1A40" w:rsidRDefault="006E1A40" w:rsidP="006E1A40">
            <w:pPr>
              <w:jc w:val="right"/>
              <w:rPr>
                <w:b/>
                <w:szCs w:val="24"/>
              </w:rPr>
            </w:pPr>
          </w:p>
        </w:tc>
        <w:tc>
          <w:tcPr>
            <w:tcW w:w="1696" w:type="dxa"/>
            <w:tcBorders>
              <w:left w:val="single" w:sz="4" w:space="0" w:color="FFFFFF" w:themeColor="background1"/>
            </w:tcBorders>
          </w:tcPr>
          <w:p w:rsidR="006E1A40" w:rsidRDefault="006E1A40" w:rsidP="006E1A40">
            <w:pPr>
              <w:jc w:val="right"/>
              <w:rPr>
                <w:b/>
                <w:szCs w:val="24"/>
              </w:rPr>
            </w:pPr>
            <w:r>
              <w:rPr>
                <w:b/>
                <w:szCs w:val="24"/>
              </w:rPr>
              <w:t>2011/12</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RPr="007A07AD" w:rsidTr="006E1A40">
        <w:tc>
          <w:tcPr>
            <w:tcW w:w="5058" w:type="dxa"/>
          </w:tcPr>
          <w:p w:rsidR="006E1A40" w:rsidRPr="007A07AD" w:rsidRDefault="006E1A40" w:rsidP="006E1A40">
            <w:pPr>
              <w:rPr>
                <w:szCs w:val="24"/>
              </w:rPr>
            </w:pPr>
            <w:r>
              <w:rPr>
                <w:szCs w:val="24"/>
              </w:rPr>
              <w:t>Administration, management and custody</w:t>
            </w:r>
          </w:p>
        </w:tc>
        <w:tc>
          <w:tcPr>
            <w:tcW w:w="1559" w:type="dxa"/>
          </w:tcPr>
          <w:p w:rsidR="006E1A40" w:rsidRPr="007A07AD" w:rsidRDefault="006E1A40" w:rsidP="006E1A40">
            <w:pPr>
              <w:jc w:val="right"/>
              <w:rPr>
                <w:szCs w:val="24"/>
              </w:rPr>
            </w:pPr>
            <w:r>
              <w:rPr>
                <w:szCs w:val="24"/>
              </w:rPr>
              <w:t>7.8</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Pr="007A07AD" w:rsidRDefault="006E1A40" w:rsidP="006E1A40">
            <w:pPr>
              <w:jc w:val="right"/>
              <w:rPr>
                <w:szCs w:val="24"/>
              </w:rPr>
            </w:pPr>
            <w:r>
              <w:rPr>
                <w:szCs w:val="24"/>
              </w:rPr>
              <w:t>6.7</w:t>
            </w:r>
          </w:p>
        </w:tc>
      </w:tr>
      <w:tr w:rsidR="006E1A40" w:rsidRPr="007A07AD" w:rsidTr="006E1A40">
        <w:tc>
          <w:tcPr>
            <w:tcW w:w="5058" w:type="dxa"/>
          </w:tcPr>
          <w:p w:rsidR="006E1A40" w:rsidRDefault="006E1A40" w:rsidP="006E1A40">
            <w:pPr>
              <w:rPr>
                <w:szCs w:val="24"/>
              </w:rPr>
            </w:pPr>
            <w:r>
              <w:rPr>
                <w:szCs w:val="24"/>
              </w:rPr>
              <w:t>Performance measurement service</w:t>
            </w:r>
          </w:p>
        </w:tc>
        <w:tc>
          <w:tcPr>
            <w:tcW w:w="1559" w:type="dxa"/>
          </w:tcPr>
          <w:p w:rsidR="006E1A40" w:rsidRPr="007A07AD" w:rsidRDefault="006E1A40" w:rsidP="006E1A40">
            <w:pPr>
              <w:jc w:val="right"/>
              <w:rPr>
                <w:szCs w:val="24"/>
              </w:rPr>
            </w:pPr>
            <w:r>
              <w:rPr>
                <w:szCs w:val="24"/>
              </w:rPr>
              <w:t>0.2</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0.1</w:t>
            </w:r>
          </w:p>
        </w:tc>
      </w:tr>
      <w:tr w:rsidR="006E1A40" w:rsidRPr="007A07AD" w:rsidTr="006E1A40">
        <w:tc>
          <w:tcPr>
            <w:tcW w:w="5058" w:type="dxa"/>
          </w:tcPr>
          <w:p w:rsidR="006E1A40" w:rsidRDefault="006E1A40" w:rsidP="006E1A40">
            <w:pPr>
              <w:rPr>
                <w:szCs w:val="24"/>
              </w:rPr>
            </w:pPr>
            <w:r>
              <w:rPr>
                <w:szCs w:val="24"/>
              </w:rPr>
              <w:t>Other advisory fees</w:t>
            </w:r>
          </w:p>
        </w:tc>
        <w:tc>
          <w:tcPr>
            <w:tcW w:w="1559" w:type="dxa"/>
            <w:tcBorders>
              <w:bottom w:val="single" w:sz="18" w:space="0" w:color="auto"/>
            </w:tcBorders>
          </w:tcPr>
          <w:p w:rsidR="006E1A40" w:rsidRPr="007A07AD" w:rsidRDefault="006E1A40" w:rsidP="006E1A40">
            <w:pPr>
              <w:jc w:val="right"/>
              <w:rPr>
                <w:szCs w:val="24"/>
              </w:rPr>
            </w:pPr>
            <w:r>
              <w:rPr>
                <w:szCs w:val="24"/>
              </w:rPr>
              <w:t>1.7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bottom w:val="single" w:sz="18" w:space="0" w:color="auto"/>
            </w:tcBorders>
          </w:tcPr>
          <w:p w:rsidR="006E1A40" w:rsidRDefault="006E1A40" w:rsidP="006E1A40">
            <w:pPr>
              <w:jc w:val="right"/>
              <w:rPr>
                <w:szCs w:val="24"/>
              </w:rPr>
            </w:pPr>
            <w:r>
              <w:rPr>
                <w:szCs w:val="24"/>
              </w:rPr>
              <w:t>1.5</w:t>
            </w:r>
          </w:p>
        </w:tc>
      </w:tr>
      <w:tr w:rsidR="006E1A40" w:rsidRPr="007A07AD" w:rsidTr="006E1A40">
        <w:tc>
          <w:tcPr>
            <w:tcW w:w="5058" w:type="dxa"/>
          </w:tcPr>
          <w:p w:rsidR="006E1A40" w:rsidRDefault="006E1A40" w:rsidP="006E1A40">
            <w:pPr>
              <w:rPr>
                <w:szCs w:val="24"/>
              </w:rPr>
            </w:pPr>
          </w:p>
        </w:tc>
        <w:tc>
          <w:tcPr>
            <w:tcW w:w="1559" w:type="dxa"/>
            <w:tcBorders>
              <w:top w:val="single" w:sz="18" w:space="0" w:color="auto"/>
              <w:bottom w:val="single" w:sz="18" w:space="0" w:color="auto"/>
            </w:tcBorders>
          </w:tcPr>
          <w:p w:rsidR="006E1A40" w:rsidRPr="007A07AD" w:rsidRDefault="006E1A40" w:rsidP="006E1A40">
            <w:pPr>
              <w:jc w:val="right"/>
              <w:rPr>
                <w:szCs w:val="24"/>
              </w:rPr>
            </w:pPr>
            <w:r>
              <w:rPr>
                <w:szCs w:val="24"/>
              </w:rPr>
              <w:t>9.7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top w:val="single" w:sz="18" w:space="0" w:color="auto"/>
              <w:left w:val="single" w:sz="4" w:space="0" w:color="FFFFFF" w:themeColor="background1"/>
              <w:bottom w:val="single" w:sz="18" w:space="0" w:color="auto"/>
            </w:tcBorders>
          </w:tcPr>
          <w:p w:rsidR="006E1A40" w:rsidRDefault="006E1A40" w:rsidP="006E1A40">
            <w:pPr>
              <w:jc w:val="right"/>
              <w:rPr>
                <w:szCs w:val="24"/>
              </w:rPr>
            </w:pPr>
            <w:r>
              <w:rPr>
                <w:szCs w:val="24"/>
              </w:rPr>
              <w:t>8.3</w:t>
            </w:r>
          </w:p>
        </w:tc>
      </w:tr>
    </w:tbl>
    <w:p w:rsidR="006E1A40" w:rsidRDefault="006E1A40" w:rsidP="006E1A40">
      <w:pPr>
        <w:pStyle w:val="Header"/>
        <w:rPr>
          <w:szCs w:val="24"/>
        </w:rPr>
      </w:pPr>
    </w:p>
    <w:p w:rsidR="006E1A40" w:rsidRDefault="006E1A40" w:rsidP="006E1A40">
      <w:pPr>
        <w:pStyle w:val="Header"/>
        <w:rPr>
          <w:szCs w:val="24"/>
        </w:rPr>
      </w:pPr>
    </w:p>
    <w:p w:rsidR="006E1A40" w:rsidRPr="00166665" w:rsidRDefault="006E1A40" w:rsidP="006E1A40">
      <w:pPr>
        <w:pStyle w:val="Header"/>
        <w:rPr>
          <w:szCs w:val="24"/>
        </w:rPr>
      </w:pPr>
    </w:p>
    <w:p w:rsidR="006E1A40" w:rsidRPr="00F75B5C" w:rsidRDefault="006E1A40" w:rsidP="006E1A40">
      <w:pPr>
        <w:numPr>
          <w:ilvl w:val="0"/>
          <w:numId w:val="2"/>
        </w:numPr>
        <w:tabs>
          <w:tab w:val="clear" w:pos="720"/>
          <w:tab w:val="num" w:pos="862"/>
        </w:tabs>
        <w:rPr>
          <w:b/>
          <w:szCs w:val="24"/>
        </w:rPr>
      </w:pPr>
      <w:r w:rsidRPr="00F75B5C">
        <w:rPr>
          <w:b/>
          <w:szCs w:val="24"/>
        </w:rPr>
        <w:t>Current assets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6E1A40" w:rsidTr="006E1A40">
        <w:tc>
          <w:tcPr>
            <w:tcW w:w="5058" w:type="dxa"/>
          </w:tcPr>
          <w:p w:rsidR="006E1A40" w:rsidRDefault="006E1A40" w:rsidP="006E1A40">
            <w:pPr>
              <w:rPr>
                <w:b/>
                <w:szCs w:val="24"/>
              </w:rPr>
            </w:pPr>
          </w:p>
        </w:tc>
        <w:tc>
          <w:tcPr>
            <w:tcW w:w="1559" w:type="dxa"/>
          </w:tcPr>
          <w:p w:rsidR="006E1A40" w:rsidRDefault="006E1A40" w:rsidP="006E1A40">
            <w:pPr>
              <w:jc w:val="right"/>
              <w:rPr>
                <w:b/>
                <w:szCs w:val="24"/>
              </w:rPr>
            </w:pPr>
            <w:r>
              <w:rPr>
                <w:b/>
                <w:szCs w:val="24"/>
              </w:rPr>
              <w:t>2012/13</w:t>
            </w:r>
          </w:p>
          <w:p w:rsidR="006E1A40" w:rsidRDefault="006E1A40" w:rsidP="006E1A40">
            <w:pPr>
              <w:jc w:val="right"/>
              <w:rPr>
                <w:b/>
                <w:szCs w:val="24"/>
              </w:rPr>
            </w:pPr>
            <w:r>
              <w:rPr>
                <w:b/>
                <w:szCs w:val="24"/>
              </w:rPr>
              <w:t>£m</w:t>
            </w:r>
          </w:p>
        </w:tc>
        <w:tc>
          <w:tcPr>
            <w:tcW w:w="430" w:type="dxa"/>
            <w:tcBorders>
              <w:right w:val="single" w:sz="4" w:space="0" w:color="FFFFFF" w:themeColor="background1"/>
            </w:tcBorders>
          </w:tcPr>
          <w:p w:rsidR="006E1A40" w:rsidRDefault="006E1A40" w:rsidP="006E1A40">
            <w:pPr>
              <w:jc w:val="right"/>
              <w:rPr>
                <w:b/>
                <w:szCs w:val="24"/>
              </w:rPr>
            </w:pPr>
          </w:p>
          <w:p w:rsidR="006E1A40" w:rsidRDefault="006E1A40" w:rsidP="006E1A40">
            <w:pPr>
              <w:jc w:val="right"/>
              <w:rPr>
                <w:b/>
                <w:szCs w:val="24"/>
              </w:rPr>
            </w:pPr>
          </w:p>
        </w:tc>
        <w:tc>
          <w:tcPr>
            <w:tcW w:w="1696" w:type="dxa"/>
            <w:tcBorders>
              <w:left w:val="single" w:sz="4" w:space="0" w:color="FFFFFF" w:themeColor="background1"/>
            </w:tcBorders>
          </w:tcPr>
          <w:p w:rsidR="006E1A40" w:rsidRDefault="006E1A40" w:rsidP="006E1A40">
            <w:pPr>
              <w:jc w:val="right"/>
              <w:rPr>
                <w:b/>
                <w:szCs w:val="24"/>
              </w:rPr>
            </w:pPr>
            <w:r>
              <w:rPr>
                <w:b/>
                <w:szCs w:val="24"/>
              </w:rPr>
              <w:t>2011/12</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RPr="007A07AD" w:rsidTr="006E1A40">
        <w:tc>
          <w:tcPr>
            <w:tcW w:w="5058" w:type="dxa"/>
          </w:tcPr>
          <w:p w:rsidR="006E1A40" w:rsidRPr="007A07AD" w:rsidRDefault="006E1A40" w:rsidP="006E1A40">
            <w:pPr>
              <w:rPr>
                <w:szCs w:val="24"/>
              </w:rPr>
            </w:pPr>
            <w:r>
              <w:rPr>
                <w:szCs w:val="24"/>
              </w:rPr>
              <w:t>Contributions due from: Employers</w:t>
            </w:r>
          </w:p>
        </w:tc>
        <w:tc>
          <w:tcPr>
            <w:tcW w:w="1559" w:type="dxa"/>
          </w:tcPr>
          <w:p w:rsidR="006E1A40" w:rsidRPr="007A07AD" w:rsidRDefault="006E1A40" w:rsidP="006E1A40">
            <w:pPr>
              <w:jc w:val="right"/>
              <w:rPr>
                <w:szCs w:val="24"/>
              </w:rPr>
            </w:pPr>
            <w:r>
              <w:rPr>
                <w:szCs w:val="24"/>
              </w:rPr>
              <w:t>12.5</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Pr="007A07AD" w:rsidRDefault="006E1A40" w:rsidP="006E1A40">
            <w:pPr>
              <w:jc w:val="right"/>
              <w:rPr>
                <w:szCs w:val="24"/>
              </w:rPr>
            </w:pPr>
            <w:r>
              <w:rPr>
                <w:szCs w:val="24"/>
              </w:rPr>
              <w:t>10.4</w:t>
            </w:r>
          </w:p>
        </w:tc>
      </w:tr>
      <w:tr w:rsidR="006E1A40" w:rsidRPr="007A07AD" w:rsidTr="006E1A40">
        <w:tc>
          <w:tcPr>
            <w:tcW w:w="5058" w:type="dxa"/>
          </w:tcPr>
          <w:p w:rsidR="006E1A40" w:rsidRDefault="006E1A40" w:rsidP="006E1A40">
            <w:pPr>
              <w:rPr>
                <w:szCs w:val="24"/>
              </w:rPr>
            </w:pPr>
            <w:r>
              <w:rPr>
                <w:szCs w:val="24"/>
              </w:rPr>
              <w:t xml:space="preserve">                                      :Members</w:t>
            </w:r>
          </w:p>
        </w:tc>
        <w:tc>
          <w:tcPr>
            <w:tcW w:w="1559" w:type="dxa"/>
          </w:tcPr>
          <w:p w:rsidR="006E1A40" w:rsidRPr="007A07AD" w:rsidRDefault="006E1A40" w:rsidP="006E1A40">
            <w:pPr>
              <w:jc w:val="right"/>
              <w:rPr>
                <w:szCs w:val="24"/>
              </w:rPr>
            </w:pPr>
            <w:r>
              <w:rPr>
                <w:szCs w:val="24"/>
              </w:rPr>
              <w:t>4.4</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2.4</w:t>
            </w:r>
          </w:p>
        </w:tc>
      </w:tr>
      <w:tr w:rsidR="006E1A40" w:rsidRPr="007A07AD" w:rsidTr="006E1A40">
        <w:tc>
          <w:tcPr>
            <w:tcW w:w="5058" w:type="dxa"/>
          </w:tcPr>
          <w:p w:rsidR="006E1A40" w:rsidRDefault="006E1A40" w:rsidP="006E1A40">
            <w:pPr>
              <w:rPr>
                <w:szCs w:val="24"/>
              </w:rPr>
            </w:pPr>
            <w:r>
              <w:rPr>
                <w:szCs w:val="24"/>
              </w:rPr>
              <w:t>Debtors: bodies external to general government</w:t>
            </w:r>
          </w:p>
        </w:tc>
        <w:tc>
          <w:tcPr>
            <w:tcW w:w="1559" w:type="dxa"/>
            <w:tcBorders>
              <w:bottom w:val="single" w:sz="18" w:space="0" w:color="auto"/>
            </w:tcBorders>
          </w:tcPr>
          <w:p w:rsidR="006E1A40" w:rsidRPr="007A07AD" w:rsidRDefault="006E1A40" w:rsidP="006E1A40">
            <w:pPr>
              <w:jc w:val="right"/>
              <w:rPr>
                <w:szCs w:val="24"/>
              </w:rPr>
            </w:pPr>
            <w:r>
              <w:rPr>
                <w:szCs w:val="24"/>
              </w:rPr>
              <w:t>14.8</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bottom w:val="single" w:sz="18" w:space="0" w:color="auto"/>
            </w:tcBorders>
          </w:tcPr>
          <w:p w:rsidR="006E1A40" w:rsidRDefault="006E1A40" w:rsidP="006E1A40">
            <w:pPr>
              <w:jc w:val="right"/>
              <w:rPr>
                <w:szCs w:val="24"/>
              </w:rPr>
            </w:pPr>
            <w:r>
              <w:rPr>
                <w:szCs w:val="24"/>
              </w:rPr>
              <w:t>10.5</w:t>
            </w:r>
          </w:p>
        </w:tc>
      </w:tr>
      <w:tr w:rsidR="006E1A40" w:rsidRPr="007A07AD" w:rsidTr="006E1A40">
        <w:tc>
          <w:tcPr>
            <w:tcW w:w="5058" w:type="dxa"/>
          </w:tcPr>
          <w:p w:rsidR="006E1A40" w:rsidRDefault="006E1A40" w:rsidP="006E1A40">
            <w:pPr>
              <w:rPr>
                <w:szCs w:val="24"/>
              </w:rPr>
            </w:pPr>
          </w:p>
        </w:tc>
        <w:tc>
          <w:tcPr>
            <w:tcW w:w="1559" w:type="dxa"/>
            <w:tcBorders>
              <w:top w:val="single" w:sz="18" w:space="0" w:color="auto"/>
              <w:bottom w:val="single" w:sz="18" w:space="0" w:color="auto"/>
            </w:tcBorders>
          </w:tcPr>
          <w:p w:rsidR="006E1A40" w:rsidRPr="007A07AD" w:rsidRDefault="006E1A40" w:rsidP="006E1A40">
            <w:pPr>
              <w:jc w:val="right"/>
              <w:rPr>
                <w:szCs w:val="24"/>
              </w:rPr>
            </w:pPr>
            <w:r>
              <w:rPr>
                <w:szCs w:val="24"/>
              </w:rPr>
              <w:t>31.7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top w:val="single" w:sz="18" w:space="0" w:color="auto"/>
              <w:left w:val="single" w:sz="4" w:space="0" w:color="FFFFFF" w:themeColor="background1"/>
              <w:bottom w:val="single" w:sz="18" w:space="0" w:color="auto"/>
            </w:tcBorders>
          </w:tcPr>
          <w:p w:rsidR="006E1A40" w:rsidRDefault="006E1A40" w:rsidP="006E1A40">
            <w:pPr>
              <w:jc w:val="right"/>
              <w:rPr>
                <w:szCs w:val="24"/>
              </w:rPr>
            </w:pPr>
            <w:r>
              <w:rPr>
                <w:szCs w:val="24"/>
              </w:rPr>
              <w:t>23.3</w:t>
            </w:r>
          </w:p>
        </w:tc>
      </w:tr>
    </w:tbl>
    <w:p w:rsidR="003056E9" w:rsidRDefault="003056E9" w:rsidP="00F332F8">
      <w:pPr>
        <w:spacing w:after="240"/>
        <w:ind w:left="720"/>
        <w:jc w:val="both"/>
        <w:rPr>
          <w:szCs w:val="24"/>
        </w:rPr>
      </w:pPr>
    </w:p>
    <w:p w:rsidR="003056E9" w:rsidRDefault="003056E9" w:rsidP="00F332F8">
      <w:pPr>
        <w:spacing w:after="240"/>
        <w:ind w:left="720"/>
        <w:jc w:val="both"/>
        <w:rPr>
          <w:szCs w:val="24"/>
        </w:rPr>
      </w:pPr>
    </w:p>
    <w:p w:rsidR="00897DBF" w:rsidRDefault="006E1A40">
      <w:pPr>
        <w:numPr>
          <w:ilvl w:val="0"/>
          <w:numId w:val="2"/>
        </w:numPr>
        <w:ind w:left="851"/>
        <w:rPr>
          <w:b/>
          <w:szCs w:val="24"/>
        </w:rPr>
      </w:pPr>
      <w:r w:rsidRPr="00F75B5C">
        <w:rPr>
          <w:b/>
          <w:szCs w:val="24"/>
        </w:rPr>
        <w:t>Analysis of debtors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6E1A40" w:rsidTr="006E1A40">
        <w:tc>
          <w:tcPr>
            <w:tcW w:w="5058" w:type="dxa"/>
          </w:tcPr>
          <w:p w:rsidR="006E1A40" w:rsidRDefault="006E1A40" w:rsidP="006E1A40">
            <w:pPr>
              <w:rPr>
                <w:b/>
                <w:szCs w:val="24"/>
              </w:rPr>
            </w:pPr>
          </w:p>
        </w:tc>
        <w:tc>
          <w:tcPr>
            <w:tcW w:w="1559" w:type="dxa"/>
          </w:tcPr>
          <w:p w:rsidR="006E1A40" w:rsidRDefault="006E1A40" w:rsidP="006E1A40">
            <w:pPr>
              <w:jc w:val="right"/>
              <w:rPr>
                <w:b/>
                <w:szCs w:val="24"/>
              </w:rPr>
            </w:pPr>
            <w:r>
              <w:rPr>
                <w:b/>
                <w:szCs w:val="24"/>
              </w:rPr>
              <w:t>2012/13</w:t>
            </w:r>
          </w:p>
          <w:p w:rsidR="006E1A40" w:rsidRDefault="006E1A40" w:rsidP="006E1A40">
            <w:pPr>
              <w:jc w:val="right"/>
              <w:rPr>
                <w:b/>
                <w:szCs w:val="24"/>
              </w:rPr>
            </w:pPr>
            <w:r>
              <w:rPr>
                <w:b/>
                <w:szCs w:val="24"/>
              </w:rPr>
              <w:t>£m</w:t>
            </w:r>
          </w:p>
        </w:tc>
        <w:tc>
          <w:tcPr>
            <w:tcW w:w="430" w:type="dxa"/>
            <w:tcBorders>
              <w:right w:val="single" w:sz="4" w:space="0" w:color="FFFFFF" w:themeColor="background1"/>
            </w:tcBorders>
          </w:tcPr>
          <w:p w:rsidR="006E1A40" w:rsidRDefault="006E1A40" w:rsidP="006E1A40">
            <w:pPr>
              <w:jc w:val="right"/>
              <w:rPr>
                <w:b/>
                <w:szCs w:val="24"/>
              </w:rPr>
            </w:pPr>
          </w:p>
          <w:p w:rsidR="006E1A40" w:rsidRDefault="006E1A40" w:rsidP="006E1A40">
            <w:pPr>
              <w:jc w:val="right"/>
              <w:rPr>
                <w:b/>
                <w:szCs w:val="24"/>
              </w:rPr>
            </w:pPr>
          </w:p>
        </w:tc>
        <w:tc>
          <w:tcPr>
            <w:tcW w:w="1696" w:type="dxa"/>
            <w:tcBorders>
              <w:left w:val="single" w:sz="4" w:space="0" w:color="FFFFFF" w:themeColor="background1"/>
            </w:tcBorders>
          </w:tcPr>
          <w:p w:rsidR="006E1A40" w:rsidRDefault="006E1A40" w:rsidP="006E1A40">
            <w:pPr>
              <w:jc w:val="right"/>
              <w:rPr>
                <w:b/>
                <w:szCs w:val="24"/>
              </w:rPr>
            </w:pPr>
            <w:r>
              <w:rPr>
                <w:b/>
                <w:szCs w:val="24"/>
              </w:rPr>
              <w:t>2011/12</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RPr="007A07AD" w:rsidTr="006E1A40">
        <w:tc>
          <w:tcPr>
            <w:tcW w:w="5058" w:type="dxa"/>
          </w:tcPr>
          <w:p w:rsidR="006E1A40" w:rsidRDefault="006E1A40" w:rsidP="006E1A40">
            <w:pPr>
              <w:rPr>
                <w:szCs w:val="24"/>
              </w:rPr>
            </w:pPr>
            <w:r>
              <w:rPr>
                <w:szCs w:val="24"/>
              </w:rPr>
              <w:t>Other local authorities</w:t>
            </w:r>
          </w:p>
        </w:tc>
        <w:tc>
          <w:tcPr>
            <w:tcW w:w="1559" w:type="dxa"/>
          </w:tcPr>
          <w:p w:rsidR="006E1A40" w:rsidRPr="007A07AD" w:rsidRDefault="006E1A40" w:rsidP="006E1A40">
            <w:pPr>
              <w:jc w:val="right"/>
              <w:rPr>
                <w:szCs w:val="24"/>
              </w:rPr>
            </w:pPr>
            <w:r>
              <w:rPr>
                <w:szCs w:val="24"/>
              </w:rPr>
              <w:t>18.9</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5.5</w:t>
            </w:r>
          </w:p>
        </w:tc>
      </w:tr>
      <w:tr w:rsidR="006E1A40" w:rsidRPr="007A07AD" w:rsidTr="006E1A40">
        <w:tc>
          <w:tcPr>
            <w:tcW w:w="5058" w:type="dxa"/>
          </w:tcPr>
          <w:p w:rsidR="006E1A40" w:rsidRDefault="006E1A40" w:rsidP="006E1A40">
            <w:pPr>
              <w:rPr>
                <w:szCs w:val="24"/>
              </w:rPr>
            </w:pPr>
            <w:r>
              <w:rPr>
                <w:szCs w:val="24"/>
              </w:rPr>
              <w:t>NHS bodies</w:t>
            </w:r>
          </w:p>
        </w:tc>
        <w:tc>
          <w:tcPr>
            <w:tcW w:w="1559" w:type="dxa"/>
          </w:tcPr>
          <w:p w:rsidR="006E1A40" w:rsidRPr="007A07AD" w:rsidRDefault="006E1A40" w:rsidP="006E1A40">
            <w:pPr>
              <w:jc w:val="right"/>
              <w:rPr>
                <w:szCs w:val="24"/>
              </w:rPr>
            </w:pPr>
            <w:r>
              <w:rPr>
                <w:szCs w:val="24"/>
              </w:rPr>
              <w:t>0.1</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w:t>
            </w:r>
          </w:p>
        </w:tc>
      </w:tr>
      <w:tr w:rsidR="006E1A40" w:rsidRPr="007A07AD" w:rsidTr="006E1A40">
        <w:tc>
          <w:tcPr>
            <w:tcW w:w="5058" w:type="dxa"/>
          </w:tcPr>
          <w:p w:rsidR="006E1A40" w:rsidRDefault="006E1A40" w:rsidP="006E1A40">
            <w:pPr>
              <w:rPr>
                <w:szCs w:val="24"/>
              </w:rPr>
            </w:pPr>
            <w:r>
              <w:rPr>
                <w:szCs w:val="24"/>
              </w:rPr>
              <w:t>Public corporations and trading funds</w:t>
            </w:r>
          </w:p>
        </w:tc>
        <w:tc>
          <w:tcPr>
            <w:tcW w:w="1559" w:type="dxa"/>
          </w:tcPr>
          <w:p w:rsidR="006E1A40" w:rsidRPr="007A07AD" w:rsidRDefault="006E1A40" w:rsidP="006E1A40">
            <w:pPr>
              <w:jc w:val="right"/>
              <w:rPr>
                <w:szCs w:val="24"/>
              </w:rPr>
            </w:pPr>
            <w:r>
              <w:rPr>
                <w:szCs w:val="24"/>
              </w:rPr>
              <w:t>0.1</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w:t>
            </w:r>
          </w:p>
        </w:tc>
      </w:tr>
      <w:tr w:rsidR="006E1A40" w:rsidRPr="007A07AD" w:rsidTr="006E1A40">
        <w:tc>
          <w:tcPr>
            <w:tcW w:w="5058" w:type="dxa"/>
          </w:tcPr>
          <w:p w:rsidR="006E1A40" w:rsidRDefault="006E1A40" w:rsidP="006E1A40">
            <w:pPr>
              <w:rPr>
                <w:szCs w:val="24"/>
              </w:rPr>
            </w:pPr>
            <w:r>
              <w:rPr>
                <w:szCs w:val="24"/>
              </w:rPr>
              <w:t>Other entities and individuals</w:t>
            </w:r>
          </w:p>
        </w:tc>
        <w:tc>
          <w:tcPr>
            <w:tcW w:w="1559" w:type="dxa"/>
          </w:tcPr>
          <w:p w:rsidR="006E1A40" w:rsidRPr="007A07AD" w:rsidRDefault="006E1A40" w:rsidP="006E1A40">
            <w:pPr>
              <w:jc w:val="right"/>
              <w:rPr>
                <w:szCs w:val="24"/>
              </w:rPr>
            </w:pPr>
            <w:r>
              <w:rPr>
                <w:szCs w:val="24"/>
              </w:rPr>
              <w:t>12.6</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17.8</w:t>
            </w:r>
          </w:p>
        </w:tc>
      </w:tr>
      <w:tr w:rsidR="006E1A40" w:rsidRPr="007A07AD" w:rsidTr="006E1A40">
        <w:tc>
          <w:tcPr>
            <w:tcW w:w="5058" w:type="dxa"/>
          </w:tcPr>
          <w:p w:rsidR="006E1A40" w:rsidRDefault="006E1A40" w:rsidP="006E1A40">
            <w:pPr>
              <w:rPr>
                <w:szCs w:val="24"/>
              </w:rPr>
            </w:pPr>
          </w:p>
        </w:tc>
        <w:tc>
          <w:tcPr>
            <w:tcW w:w="1559" w:type="dxa"/>
            <w:tcBorders>
              <w:top w:val="single" w:sz="18" w:space="0" w:color="auto"/>
              <w:bottom w:val="single" w:sz="18" w:space="0" w:color="auto"/>
            </w:tcBorders>
          </w:tcPr>
          <w:p w:rsidR="006E1A40" w:rsidRPr="007A07AD" w:rsidRDefault="006E1A40" w:rsidP="006E1A40">
            <w:pPr>
              <w:jc w:val="right"/>
              <w:rPr>
                <w:szCs w:val="24"/>
              </w:rPr>
            </w:pPr>
            <w:r>
              <w:rPr>
                <w:szCs w:val="24"/>
              </w:rPr>
              <w:t>31.7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top w:val="single" w:sz="18" w:space="0" w:color="auto"/>
              <w:left w:val="single" w:sz="4" w:space="0" w:color="FFFFFF" w:themeColor="background1"/>
              <w:bottom w:val="single" w:sz="18" w:space="0" w:color="auto"/>
            </w:tcBorders>
          </w:tcPr>
          <w:p w:rsidR="006E1A40" w:rsidRDefault="006E1A40" w:rsidP="006E1A40">
            <w:pPr>
              <w:jc w:val="right"/>
              <w:rPr>
                <w:szCs w:val="24"/>
              </w:rPr>
            </w:pPr>
            <w:r>
              <w:rPr>
                <w:szCs w:val="24"/>
              </w:rPr>
              <w:t>23.3</w:t>
            </w:r>
          </w:p>
        </w:tc>
      </w:tr>
    </w:tbl>
    <w:p w:rsidR="006E1A40" w:rsidRDefault="006E1A40" w:rsidP="006E1A40">
      <w:pPr>
        <w:pStyle w:val="BodyTextIndent"/>
        <w:ind w:left="709"/>
        <w:rPr>
          <w:szCs w:val="24"/>
        </w:rPr>
      </w:pPr>
    </w:p>
    <w:p w:rsidR="006E1A40" w:rsidRDefault="006E1A40" w:rsidP="006E1A40">
      <w:pPr>
        <w:pStyle w:val="BodyTextIndent"/>
        <w:spacing w:after="0"/>
        <w:ind w:left="709"/>
        <w:rPr>
          <w:szCs w:val="24"/>
        </w:rPr>
      </w:pPr>
    </w:p>
    <w:p w:rsidR="001C233D" w:rsidRDefault="001C233D" w:rsidP="006E1A40">
      <w:pPr>
        <w:pStyle w:val="BodyTextIndent"/>
        <w:spacing w:after="0"/>
        <w:ind w:left="709"/>
        <w:rPr>
          <w:szCs w:val="24"/>
        </w:rPr>
      </w:pPr>
    </w:p>
    <w:p w:rsidR="00897DBF" w:rsidRDefault="006E1A40">
      <w:pPr>
        <w:numPr>
          <w:ilvl w:val="0"/>
          <w:numId w:val="2"/>
        </w:numPr>
        <w:ind w:left="851" w:hanging="851"/>
        <w:rPr>
          <w:b/>
          <w:szCs w:val="24"/>
        </w:rPr>
      </w:pPr>
      <w:r w:rsidRPr="00F75B5C">
        <w:rPr>
          <w:b/>
          <w:szCs w:val="24"/>
        </w:rPr>
        <w:t>Current liabilities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6E1A40" w:rsidTr="006E1A40">
        <w:tc>
          <w:tcPr>
            <w:tcW w:w="5058" w:type="dxa"/>
          </w:tcPr>
          <w:p w:rsidR="006E1A40" w:rsidRDefault="006E1A40" w:rsidP="006E1A40">
            <w:pPr>
              <w:rPr>
                <w:b/>
                <w:szCs w:val="24"/>
              </w:rPr>
            </w:pPr>
          </w:p>
        </w:tc>
        <w:tc>
          <w:tcPr>
            <w:tcW w:w="1559" w:type="dxa"/>
          </w:tcPr>
          <w:p w:rsidR="006E1A40" w:rsidRDefault="006E1A40" w:rsidP="006E1A40">
            <w:pPr>
              <w:jc w:val="right"/>
              <w:rPr>
                <w:b/>
                <w:szCs w:val="24"/>
              </w:rPr>
            </w:pPr>
            <w:r>
              <w:rPr>
                <w:b/>
                <w:szCs w:val="24"/>
              </w:rPr>
              <w:t>2012/13</w:t>
            </w:r>
          </w:p>
          <w:p w:rsidR="006E1A40" w:rsidRDefault="006E1A40" w:rsidP="006E1A40">
            <w:pPr>
              <w:jc w:val="right"/>
              <w:rPr>
                <w:b/>
                <w:szCs w:val="24"/>
              </w:rPr>
            </w:pPr>
            <w:r>
              <w:rPr>
                <w:b/>
                <w:szCs w:val="24"/>
              </w:rPr>
              <w:t>£m</w:t>
            </w:r>
          </w:p>
        </w:tc>
        <w:tc>
          <w:tcPr>
            <w:tcW w:w="430" w:type="dxa"/>
            <w:tcBorders>
              <w:right w:val="single" w:sz="4" w:space="0" w:color="FFFFFF" w:themeColor="background1"/>
            </w:tcBorders>
          </w:tcPr>
          <w:p w:rsidR="006E1A40" w:rsidRDefault="006E1A40" w:rsidP="006E1A40">
            <w:pPr>
              <w:jc w:val="right"/>
              <w:rPr>
                <w:b/>
                <w:szCs w:val="24"/>
              </w:rPr>
            </w:pPr>
          </w:p>
          <w:p w:rsidR="006E1A40" w:rsidRDefault="006E1A40" w:rsidP="006E1A40">
            <w:pPr>
              <w:jc w:val="right"/>
              <w:rPr>
                <w:b/>
                <w:szCs w:val="24"/>
              </w:rPr>
            </w:pPr>
          </w:p>
        </w:tc>
        <w:tc>
          <w:tcPr>
            <w:tcW w:w="1696" w:type="dxa"/>
            <w:tcBorders>
              <w:left w:val="single" w:sz="4" w:space="0" w:color="FFFFFF" w:themeColor="background1"/>
            </w:tcBorders>
          </w:tcPr>
          <w:p w:rsidR="006E1A40" w:rsidRDefault="006E1A40" w:rsidP="006E1A40">
            <w:pPr>
              <w:jc w:val="right"/>
              <w:rPr>
                <w:b/>
                <w:szCs w:val="24"/>
              </w:rPr>
            </w:pPr>
            <w:r>
              <w:rPr>
                <w:b/>
                <w:szCs w:val="24"/>
              </w:rPr>
              <w:t>2011/12</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RPr="007A07AD" w:rsidTr="006E1A40">
        <w:tc>
          <w:tcPr>
            <w:tcW w:w="5058" w:type="dxa"/>
          </w:tcPr>
          <w:p w:rsidR="006E1A40" w:rsidRPr="007A07AD" w:rsidRDefault="006E1A40" w:rsidP="006E1A40">
            <w:pPr>
              <w:rPr>
                <w:szCs w:val="24"/>
              </w:rPr>
            </w:pPr>
            <w:r>
              <w:rPr>
                <w:szCs w:val="24"/>
              </w:rPr>
              <w:t>Unpaid benefits</w:t>
            </w:r>
          </w:p>
        </w:tc>
        <w:tc>
          <w:tcPr>
            <w:tcW w:w="1559" w:type="dxa"/>
          </w:tcPr>
          <w:p w:rsidR="006E1A40" w:rsidRPr="007A07AD" w:rsidRDefault="006E1A40" w:rsidP="006E1A40">
            <w:pPr>
              <w:jc w:val="right"/>
              <w:rPr>
                <w:szCs w:val="24"/>
              </w:rPr>
            </w:pPr>
            <w:r>
              <w:rPr>
                <w:szCs w:val="24"/>
              </w:rPr>
              <w:t>2.3</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Pr="007A07AD" w:rsidRDefault="006E1A40" w:rsidP="006E1A40">
            <w:pPr>
              <w:jc w:val="right"/>
              <w:rPr>
                <w:szCs w:val="24"/>
              </w:rPr>
            </w:pPr>
            <w:r>
              <w:rPr>
                <w:szCs w:val="24"/>
              </w:rPr>
              <w:t>2.8</w:t>
            </w:r>
          </w:p>
        </w:tc>
      </w:tr>
      <w:tr w:rsidR="006E1A40" w:rsidRPr="007A07AD" w:rsidTr="006E1A40">
        <w:tc>
          <w:tcPr>
            <w:tcW w:w="5058" w:type="dxa"/>
          </w:tcPr>
          <w:p w:rsidR="006E1A40" w:rsidRDefault="006E1A40" w:rsidP="006E1A40">
            <w:pPr>
              <w:rPr>
                <w:szCs w:val="24"/>
              </w:rPr>
            </w:pPr>
            <w:r>
              <w:rPr>
                <w:szCs w:val="24"/>
              </w:rPr>
              <w:t>Accrued expenses</w:t>
            </w:r>
          </w:p>
        </w:tc>
        <w:tc>
          <w:tcPr>
            <w:tcW w:w="1559" w:type="dxa"/>
          </w:tcPr>
          <w:p w:rsidR="006E1A40" w:rsidRPr="007A07AD" w:rsidRDefault="006E1A40" w:rsidP="006E1A40">
            <w:pPr>
              <w:jc w:val="right"/>
              <w:rPr>
                <w:szCs w:val="24"/>
              </w:rPr>
            </w:pPr>
            <w:r>
              <w:rPr>
                <w:szCs w:val="24"/>
              </w:rPr>
              <w:t>7.4</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0.4</w:t>
            </w:r>
          </w:p>
        </w:tc>
      </w:tr>
      <w:tr w:rsidR="006E1A40" w:rsidRPr="007A07AD" w:rsidTr="006E1A40">
        <w:tc>
          <w:tcPr>
            <w:tcW w:w="5058" w:type="dxa"/>
          </w:tcPr>
          <w:p w:rsidR="006E1A40" w:rsidRDefault="006E1A40" w:rsidP="006E1A40">
            <w:pPr>
              <w:rPr>
                <w:szCs w:val="24"/>
              </w:rPr>
            </w:pPr>
          </w:p>
        </w:tc>
        <w:tc>
          <w:tcPr>
            <w:tcW w:w="1559" w:type="dxa"/>
            <w:tcBorders>
              <w:top w:val="single" w:sz="18" w:space="0" w:color="auto"/>
              <w:bottom w:val="single" w:sz="18" w:space="0" w:color="auto"/>
            </w:tcBorders>
          </w:tcPr>
          <w:p w:rsidR="006E1A40" w:rsidRPr="007A07AD" w:rsidRDefault="006E1A40" w:rsidP="006E1A40">
            <w:pPr>
              <w:jc w:val="right"/>
              <w:rPr>
                <w:szCs w:val="24"/>
              </w:rPr>
            </w:pPr>
            <w:r>
              <w:rPr>
                <w:szCs w:val="24"/>
              </w:rPr>
              <w:t>9.7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top w:val="single" w:sz="18" w:space="0" w:color="auto"/>
              <w:left w:val="single" w:sz="4" w:space="0" w:color="FFFFFF" w:themeColor="background1"/>
              <w:bottom w:val="single" w:sz="18" w:space="0" w:color="auto"/>
            </w:tcBorders>
          </w:tcPr>
          <w:p w:rsidR="006E1A40" w:rsidRDefault="006E1A40" w:rsidP="006E1A40">
            <w:pPr>
              <w:jc w:val="right"/>
              <w:rPr>
                <w:szCs w:val="24"/>
              </w:rPr>
            </w:pPr>
            <w:r>
              <w:rPr>
                <w:szCs w:val="24"/>
              </w:rPr>
              <w:t>3.2</w:t>
            </w:r>
          </w:p>
        </w:tc>
      </w:tr>
    </w:tbl>
    <w:p w:rsidR="006E1A40" w:rsidRDefault="006E1A40" w:rsidP="006E1A40">
      <w:pPr>
        <w:ind w:left="720"/>
        <w:rPr>
          <w:szCs w:val="24"/>
        </w:rPr>
      </w:pPr>
    </w:p>
    <w:p w:rsidR="001C233D" w:rsidRDefault="001C233D" w:rsidP="006E1A40">
      <w:pPr>
        <w:ind w:left="720"/>
        <w:rPr>
          <w:szCs w:val="24"/>
        </w:rPr>
      </w:pPr>
    </w:p>
    <w:p w:rsidR="001C233D" w:rsidRDefault="001C233D" w:rsidP="006E1A40">
      <w:pPr>
        <w:ind w:left="720"/>
        <w:rPr>
          <w:szCs w:val="24"/>
        </w:rPr>
      </w:pPr>
    </w:p>
    <w:p w:rsidR="001C233D" w:rsidRDefault="001C233D" w:rsidP="006E1A40">
      <w:pPr>
        <w:ind w:left="720"/>
        <w:rPr>
          <w:szCs w:val="24"/>
        </w:rPr>
      </w:pPr>
    </w:p>
    <w:p w:rsidR="001C233D" w:rsidRDefault="001C233D" w:rsidP="006E1A40">
      <w:pPr>
        <w:ind w:left="720"/>
        <w:rPr>
          <w:szCs w:val="24"/>
        </w:rPr>
      </w:pPr>
    </w:p>
    <w:p w:rsidR="001C233D" w:rsidRDefault="001C233D" w:rsidP="006E1A40">
      <w:pPr>
        <w:ind w:left="720"/>
        <w:rPr>
          <w:szCs w:val="24"/>
        </w:rPr>
      </w:pPr>
    </w:p>
    <w:p w:rsidR="006E1A40" w:rsidRDefault="006E1A40" w:rsidP="006E1A40">
      <w:pPr>
        <w:ind w:left="720"/>
        <w:rPr>
          <w:szCs w:val="24"/>
        </w:rPr>
      </w:pPr>
    </w:p>
    <w:p w:rsidR="00897DBF" w:rsidRDefault="006E1A40">
      <w:pPr>
        <w:numPr>
          <w:ilvl w:val="0"/>
          <w:numId w:val="2"/>
        </w:numPr>
        <w:ind w:left="862"/>
        <w:rPr>
          <w:b/>
        </w:rPr>
      </w:pPr>
      <w:r w:rsidRPr="00F75B5C">
        <w:rPr>
          <w:rFonts w:cs="Arial"/>
          <w:b/>
          <w:bCs/>
          <w:color w:val="000000"/>
          <w:szCs w:val="24"/>
        </w:rPr>
        <w:t>Analysis of creditors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6E1A40" w:rsidTr="006E1A40">
        <w:tc>
          <w:tcPr>
            <w:tcW w:w="5058" w:type="dxa"/>
          </w:tcPr>
          <w:p w:rsidR="006E1A40" w:rsidRDefault="006E1A40" w:rsidP="006E1A40">
            <w:pPr>
              <w:rPr>
                <w:b/>
                <w:szCs w:val="24"/>
              </w:rPr>
            </w:pPr>
          </w:p>
        </w:tc>
        <w:tc>
          <w:tcPr>
            <w:tcW w:w="1559" w:type="dxa"/>
          </w:tcPr>
          <w:p w:rsidR="006E1A40" w:rsidRDefault="006E1A40" w:rsidP="006E1A40">
            <w:pPr>
              <w:jc w:val="right"/>
              <w:rPr>
                <w:b/>
                <w:szCs w:val="24"/>
              </w:rPr>
            </w:pPr>
            <w:r>
              <w:rPr>
                <w:b/>
                <w:szCs w:val="24"/>
              </w:rPr>
              <w:t>2012/13</w:t>
            </w:r>
          </w:p>
          <w:p w:rsidR="006E1A40" w:rsidRDefault="006E1A40" w:rsidP="006E1A40">
            <w:pPr>
              <w:jc w:val="right"/>
              <w:rPr>
                <w:b/>
                <w:szCs w:val="24"/>
              </w:rPr>
            </w:pPr>
            <w:r>
              <w:rPr>
                <w:b/>
                <w:szCs w:val="24"/>
              </w:rPr>
              <w:t>£m</w:t>
            </w:r>
          </w:p>
        </w:tc>
        <w:tc>
          <w:tcPr>
            <w:tcW w:w="430" w:type="dxa"/>
            <w:tcBorders>
              <w:right w:val="single" w:sz="4" w:space="0" w:color="FFFFFF" w:themeColor="background1"/>
            </w:tcBorders>
          </w:tcPr>
          <w:p w:rsidR="006E1A40" w:rsidRDefault="006E1A40" w:rsidP="006E1A40">
            <w:pPr>
              <w:jc w:val="right"/>
              <w:rPr>
                <w:b/>
                <w:szCs w:val="24"/>
              </w:rPr>
            </w:pPr>
          </w:p>
          <w:p w:rsidR="006E1A40" w:rsidRDefault="006E1A40" w:rsidP="006E1A40">
            <w:pPr>
              <w:jc w:val="right"/>
              <w:rPr>
                <w:b/>
                <w:szCs w:val="24"/>
              </w:rPr>
            </w:pPr>
          </w:p>
        </w:tc>
        <w:tc>
          <w:tcPr>
            <w:tcW w:w="1696" w:type="dxa"/>
            <w:tcBorders>
              <w:left w:val="single" w:sz="4" w:space="0" w:color="FFFFFF" w:themeColor="background1"/>
            </w:tcBorders>
          </w:tcPr>
          <w:p w:rsidR="006E1A40" w:rsidRDefault="006E1A40" w:rsidP="006E1A40">
            <w:pPr>
              <w:jc w:val="right"/>
              <w:rPr>
                <w:b/>
                <w:szCs w:val="24"/>
              </w:rPr>
            </w:pPr>
            <w:r>
              <w:rPr>
                <w:b/>
                <w:szCs w:val="24"/>
              </w:rPr>
              <w:t>2011/12</w:t>
            </w:r>
          </w:p>
          <w:p w:rsidR="006E1A40" w:rsidRDefault="006E1A40" w:rsidP="006E1A40">
            <w:pPr>
              <w:jc w:val="right"/>
              <w:rPr>
                <w:b/>
                <w:szCs w:val="24"/>
              </w:rPr>
            </w:pPr>
            <w:r>
              <w:rPr>
                <w:b/>
                <w:szCs w:val="24"/>
              </w:rPr>
              <w:t>£m</w:t>
            </w:r>
          </w:p>
          <w:p w:rsidR="006E1A40" w:rsidRDefault="006E1A40" w:rsidP="006E1A40">
            <w:pPr>
              <w:jc w:val="right"/>
              <w:rPr>
                <w:b/>
                <w:szCs w:val="24"/>
              </w:rPr>
            </w:pPr>
          </w:p>
        </w:tc>
      </w:tr>
      <w:tr w:rsidR="006E1A40" w:rsidRPr="007A07AD" w:rsidTr="006E1A40">
        <w:tc>
          <w:tcPr>
            <w:tcW w:w="5058" w:type="dxa"/>
          </w:tcPr>
          <w:p w:rsidR="006E1A40" w:rsidRDefault="006E1A40" w:rsidP="006E1A40">
            <w:pPr>
              <w:rPr>
                <w:szCs w:val="24"/>
              </w:rPr>
            </w:pPr>
            <w:r>
              <w:rPr>
                <w:szCs w:val="24"/>
              </w:rPr>
              <w:t>Other local authorities</w:t>
            </w:r>
          </w:p>
        </w:tc>
        <w:tc>
          <w:tcPr>
            <w:tcW w:w="1559" w:type="dxa"/>
          </w:tcPr>
          <w:p w:rsidR="006E1A40" w:rsidRPr="007A07AD" w:rsidRDefault="006E1A40" w:rsidP="006E1A40">
            <w:pPr>
              <w:jc w:val="right"/>
              <w:rPr>
                <w:szCs w:val="24"/>
              </w:rPr>
            </w:pPr>
            <w:r>
              <w:rPr>
                <w:szCs w:val="24"/>
              </w:rPr>
              <w:t>4.2</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(1.2)</w:t>
            </w:r>
          </w:p>
        </w:tc>
      </w:tr>
      <w:tr w:rsidR="006E1A40" w:rsidRPr="007A07AD" w:rsidTr="006E1A40">
        <w:tc>
          <w:tcPr>
            <w:tcW w:w="5058" w:type="dxa"/>
          </w:tcPr>
          <w:p w:rsidR="006E1A40" w:rsidRDefault="006E1A40" w:rsidP="006E1A40">
            <w:pPr>
              <w:rPr>
                <w:szCs w:val="24"/>
              </w:rPr>
            </w:pPr>
            <w:r>
              <w:rPr>
                <w:szCs w:val="24"/>
              </w:rPr>
              <w:t>NHS bodies</w:t>
            </w:r>
          </w:p>
        </w:tc>
        <w:tc>
          <w:tcPr>
            <w:tcW w:w="1559" w:type="dxa"/>
          </w:tcPr>
          <w:p w:rsidR="006E1A40" w:rsidRPr="007A07AD" w:rsidRDefault="006E1A40" w:rsidP="006E1A40">
            <w:pPr>
              <w:jc w:val="right"/>
              <w:rPr>
                <w:szCs w:val="24"/>
              </w:rPr>
            </w:pPr>
            <w:r>
              <w:rPr>
                <w:szCs w:val="24"/>
              </w:rPr>
              <w:t>0.4</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w:t>
            </w:r>
          </w:p>
        </w:tc>
      </w:tr>
      <w:tr w:rsidR="006E1A40" w:rsidRPr="007A07AD" w:rsidTr="006E1A40">
        <w:tc>
          <w:tcPr>
            <w:tcW w:w="5058" w:type="dxa"/>
          </w:tcPr>
          <w:p w:rsidR="006E1A40" w:rsidRDefault="006E1A40" w:rsidP="006E1A40">
            <w:pPr>
              <w:rPr>
                <w:szCs w:val="24"/>
              </w:rPr>
            </w:pPr>
            <w:r>
              <w:rPr>
                <w:szCs w:val="24"/>
              </w:rPr>
              <w:t>Other entities and individuals</w:t>
            </w:r>
          </w:p>
        </w:tc>
        <w:tc>
          <w:tcPr>
            <w:tcW w:w="1559" w:type="dxa"/>
          </w:tcPr>
          <w:p w:rsidR="006E1A40" w:rsidRPr="007A07AD" w:rsidRDefault="006E1A40" w:rsidP="006E1A40">
            <w:pPr>
              <w:jc w:val="right"/>
              <w:rPr>
                <w:szCs w:val="24"/>
              </w:rPr>
            </w:pPr>
            <w:r>
              <w:rPr>
                <w:szCs w:val="24"/>
              </w:rPr>
              <w:t>5.1</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left w:val="single" w:sz="4" w:space="0" w:color="FFFFFF" w:themeColor="background1"/>
            </w:tcBorders>
          </w:tcPr>
          <w:p w:rsidR="006E1A40" w:rsidRDefault="006E1A40" w:rsidP="006E1A40">
            <w:pPr>
              <w:jc w:val="right"/>
              <w:rPr>
                <w:szCs w:val="24"/>
              </w:rPr>
            </w:pPr>
            <w:r>
              <w:rPr>
                <w:szCs w:val="24"/>
              </w:rPr>
              <w:t>4.4</w:t>
            </w:r>
          </w:p>
        </w:tc>
      </w:tr>
      <w:tr w:rsidR="006E1A40" w:rsidRPr="007A07AD" w:rsidTr="006E1A40">
        <w:tc>
          <w:tcPr>
            <w:tcW w:w="5058" w:type="dxa"/>
          </w:tcPr>
          <w:p w:rsidR="006E1A40" w:rsidRDefault="006E1A40" w:rsidP="006E1A40">
            <w:pPr>
              <w:rPr>
                <w:szCs w:val="24"/>
              </w:rPr>
            </w:pPr>
          </w:p>
        </w:tc>
        <w:tc>
          <w:tcPr>
            <w:tcW w:w="1559" w:type="dxa"/>
            <w:tcBorders>
              <w:top w:val="single" w:sz="18" w:space="0" w:color="auto"/>
              <w:bottom w:val="single" w:sz="18" w:space="0" w:color="auto"/>
            </w:tcBorders>
          </w:tcPr>
          <w:p w:rsidR="006E1A40" w:rsidRPr="007A07AD" w:rsidRDefault="006E1A40" w:rsidP="006E1A40">
            <w:pPr>
              <w:jc w:val="right"/>
              <w:rPr>
                <w:szCs w:val="24"/>
              </w:rPr>
            </w:pPr>
            <w:r>
              <w:rPr>
                <w:szCs w:val="24"/>
              </w:rPr>
              <w:t>9.7</w:t>
            </w:r>
          </w:p>
        </w:tc>
        <w:tc>
          <w:tcPr>
            <w:tcW w:w="430" w:type="dxa"/>
            <w:tcBorders>
              <w:right w:val="single" w:sz="4" w:space="0" w:color="FFFFFF" w:themeColor="background1"/>
            </w:tcBorders>
          </w:tcPr>
          <w:p w:rsidR="006E1A40" w:rsidRPr="007A07AD" w:rsidRDefault="006E1A40" w:rsidP="006E1A40">
            <w:pPr>
              <w:jc w:val="right"/>
              <w:rPr>
                <w:szCs w:val="24"/>
              </w:rPr>
            </w:pPr>
          </w:p>
        </w:tc>
        <w:tc>
          <w:tcPr>
            <w:tcW w:w="1696" w:type="dxa"/>
            <w:tcBorders>
              <w:top w:val="single" w:sz="18" w:space="0" w:color="auto"/>
              <w:left w:val="single" w:sz="4" w:space="0" w:color="FFFFFF" w:themeColor="background1"/>
              <w:bottom w:val="single" w:sz="18" w:space="0" w:color="auto"/>
            </w:tcBorders>
          </w:tcPr>
          <w:p w:rsidR="006E1A40" w:rsidRDefault="006E1A40" w:rsidP="006E1A40">
            <w:pPr>
              <w:jc w:val="right"/>
              <w:rPr>
                <w:szCs w:val="24"/>
              </w:rPr>
            </w:pPr>
            <w:r>
              <w:rPr>
                <w:szCs w:val="24"/>
              </w:rPr>
              <w:t>3.2</w:t>
            </w:r>
          </w:p>
        </w:tc>
      </w:tr>
    </w:tbl>
    <w:p w:rsidR="006E1A40" w:rsidRDefault="006E1A40" w:rsidP="006E1A40">
      <w:pPr>
        <w:rPr>
          <w:rFonts w:cs="Arial"/>
          <w:b/>
          <w:bCs/>
          <w:color w:val="000000"/>
          <w:szCs w:val="24"/>
        </w:rPr>
      </w:pPr>
    </w:p>
    <w:p w:rsidR="006E1A40" w:rsidRDefault="006E1A40" w:rsidP="006E1A40">
      <w:pPr>
        <w:ind w:left="720"/>
        <w:rPr>
          <w:rFonts w:cs="Arial"/>
          <w:b/>
          <w:bCs/>
          <w:color w:val="000000"/>
          <w:szCs w:val="24"/>
        </w:rPr>
      </w:pPr>
    </w:p>
    <w:p w:rsidR="006E1A40" w:rsidRDefault="006E1A40" w:rsidP="006E1A40">
      <w:pPr>
        <w:ind w:left="720"/>
        <w:rPr>
          <w:rFonts w:cs="Arial"/>
          <w:b/>
          <w:bCs/>
          <w:color w:val="000000"/>
          <w:szCs w:val="24"/>
        </w:rPr>
      </w:pPr>
    </w:p>
    <w:p w:rsidR="00897DBF" w:rsidRDefault="006E1A40">
      <w:pPr>
        <w:numPr>
          <w:ilvl w:val="0"/>
          <w:numId w:val="2"/>
        </w:numPr>
        <w:spacing w:after="240"/>
        <w:ind w:left="862"/>
        <w:rPr>
          <w:b/>
          <w:szCs w:val="24"/>
        </w:rPr>
      </w:pPr>
      <w:r w:rsidRPr="00166665">
        <w:rPr>
          <w:b/>
          <w:szCs w:val="24"/>
        </w:rPr>
        <w:t>Contingent Asset and Liability</w:t>
      </w:r>
    </w:p>
    <w:p w:rsidR="006E1A40" w:rsidRDefault="006E1A40" w:rsidP="006E1A40">
      <w:pPr>
        <w:pStyle w:val="BodyTextIndent"/>
        <w:tabs>
          <w:tab w:val="clear" w:pos="1080"/>
        </w:tabs>
        <w:ind w:left="709"/>
        <w:rPr>
          <w:szCs w:val="24"/>
        </w:rPr>
      </w:pPr>
      <w:r w:rsidRPr="00166665">
        <w:rPr>
          <w:szCs w:val="24"/>
        </w:rPr>
        <w:t>The Pension Fund is a member of two group litigation actions aimed at reclaiming tax credits on overseas dividends and foreign income dividends on the basis that the original denial of a full tax credit was in contravention of EU non-discrimination law.  If successful the estimated potential income to the Pension Fund is in the region of £10</w:t>
      </w:r>
      <w:r w:rsidR="00100128">
        <w:rPr>
          <w:szCs w:val="24"/>
        </w:rPr>
        <w:t>.0</w:t>
      </w:r>
      <w:r w:rsidRPr="00166665">
        <w:rPr>
          <w:szCs w:val="24"/>
        </w:rPr>
        <w:t>m.  The estimated fees payable in respect of the litigations, regardless of the outcome, are approximately £</w:t>
      </w:r>
      <w:r w:rsidR="004376D4">
        <w:rPr>
          <w:szCs w:val="24"/>
        </w:rPr>
        <w:t>0.3m</w:t>
      </w:r>
      <w:r w:rsidRPr="00166665">
        <w:rPr>
          <w:szCs w:val="24"/>
        </w:rPr>
        <w:t>.  This issue is still progressing through the courts.</w:t>
      </w:r>
    </w:p>
    <w:p w:rsidR="006E1A40" w:rsidRDefault="006E1A40" w:rsidP="006E1A40">
      <w:pPr>
        <w:pStyle w:val="BodyTextIndent"/>
        <w:tabs>
          <w:tab w:val="clear" w:pos="1080"/>
        </w:tabs>
        <w:ind w:left="709"/>
        <w:rPr>
          <w:szCs w:val="24"/>
        </w:rPr>
      </w:pPr>
    </w:p>
    <w:p w:rsidR="006E1A40" w:rsidRPr="00664AF7" w:rsidRDefault="006E1A40" w:rsidP="006E1A40">
      <w:pPr>
        <w:pStyle w:val="BodyTextIndent"/>
        <w:numPr>
          <w:ilvl w:val="0"/>
          <w:numId w:val="2"/>
        </w:numPr>
        <w:tabs>
          <w:tab w:val="clear" w:pos="720"/>
          <w:tab w:val="clear" w:pos="1080"/>
          <w:tab w:val="num" w:pos="709"/>
        </w:tabs>
        <w:spacing w:after="240"/>
        <w:ind w:left="862"/>
        <w:rPr>
          <w:szCs w:val="24"/>
        </w:rPr>
      </w:pPr>
      <w:r w:rsidRPr="00664AF7">
        <w:rPr>
          <w:b/>
          <w:szCs w:val="24"/>
        </w:rPr>
        <w:t>Contractual Commitments</w:t>
      </w:r>
    </w:p>
    <w:p w:rsidR="00DC060B" w:rsidRDefault="006E1A40">
      <w:pPr>
        <w:pStyle w:val="BodyTextIndent"/>
        <w:tabs>
          <w:tab w:val="clear" w:pos="1080"/>
          <w:tab w:val="left" w:pos="709"/>
        </w:tabs>
        <w:ind w:left="709"/>
        <w:rPr>
          <w:szCs w:val="24"/>
        </w:rPr>
      </w:pPr>
      <w:r>
        <w:rPr>
          <w:szCs w:val="24"/>
        </w:rPr>
        <w:t>The commitments relating to outstanding call payments due to unquoted limited partnership funds held in the private equity and infrastructure income part of the portfolio totalled £327.2m. The amounts 'called' by these funds</w:t>
      </w:r>
      <w:r w:rsidRPr="00DF7F83">
        <w:rPr>
          <w:szCs w:val="24"/>
        </w:rPr>
        <w:t xml:space="preserve"> are</w:t>
      </w:r>
      <w:r>
        <w:rPr>
          <w:szCs w:val="24"/>
        </w:rPr>
        <w:t xml:space="preserve"> irregular in both size and timing and c</w:t>
      </w:r>
      <w:r w:rsidRPr="00DF7F83">
        <w:rPr>
          <w:szCs w:val="24"/>
        </w:rPr>
        <w:t xml:space="preserve">ommitments to these partnerships are drawn down over a number of years.  The term of an individual investment can be up to 10 years.  Realisation of these investments in the form of distributions normally occurs towards the end of the investment period, when portfolio companies have built value and can be liquidated.  </w:t>
      </w:r>
    </w:p>
    <w:p w:rsidR="006E1A40" w:rsidRDefault="006E1A40" w:rsidP="006E1A40">
      <w:pPr>
        <w:pStyle w:val="BodyTextIndent"/>
        <w:tabs>
          <w:tab w:val="clear" w:pos="1080"/>
          <w:tab w:val="left" w:pos="709"/>
        </w:tabs>
        <w:ind w:left="709"/>
        <w:rPr>
          <w:szCs w:val="24"/>
        </w:rPr>
      </w:pPr>
      <w:r>
        <w:rPr>
          <w:szCs w:val="24"/>
        </w:rPr>
        <w:t>There was also a signed commitment to a non-investment fixed grade income investment at 31 March 2013 which totalled £65</w:t>
      </w:r>
      <w:r w:rsidR="00100128">
        <w:rPr>
          <w:szCs w:val="24"/>
        </w:rPr>
        <w:t>.0</w:t>
      </w:r>
      <w:r>
        <w:rPr>
          <w:szCs w:val="24"/>
        </w:rPr>
        <w:t xml:space="preserve">m. </w:t>
      </w:r>
    </w:p>
    <w:p w:rsidR="003056E9" w:rsidRDefault="003056E9" w:rsidP="00F332F8">
      <w:pPr>
        <w:spacing w:after="240"/>
        <w:ind w:left="720"/>
        <w:jc w:val="both"/>
        <w:rPr>
          <w:szCs w:val="24"/>
        </w:rPr>
      </w:pPr>
    </w:p>
    <w:p w:rsidR="00EA11A6" w:rsidRPr="00166665" w:rsidRDefault="00EA11A6" w:rsidP="00EA11A6">
      <w:pPr>
        <w:numPr>
          <w:ilvl w:val="0"/>
          <w:numId w:val="2"/>
        </w:numPr>
        <w:tabs>
          <w:tab w:val="clear" w:pos="720"/>
        </w:tabs>
        <w:spacing w:after="240"/>
        <w:ind w:left="709"/>
        <w:rPr>
          <w:szCs w:val="24"/>
        </w:rPr>
      </w:pPr>
      <w:r w:rsidRPr="00166665">
        <w:rPr>
          <w:b/>
          <w:szCs w:val="24"/>
        </w:rPr>
        <w:t>Related Party Transactions</w:t>
      </w:r>
    </w:p>
    <w:p w:rsidR="00EA11A6" w:rsidRDefault="00EA11A6" w:rsidP="00EA11A6">
      <w:pPr>
        <w:pStyle w:val="BodyTextIndent"/>
        <w:tabs>
          <w:tab w:val="clear" w:pos="1080"/>
          <w:tab w:val="left" w:pos="709"/>
        </w:tabs>
        <w:ind w:left="709"/>
        <w:rPr>
          <w:szCs w:val="24"/>
        </w:rPr>
      </w:pPr>
      <w:r w:rsidRPr="00166665">
        <w:rPr>
          <w:szCs w:val="24"/>
        </w:rPr>
        <w:t xml:space="preserve">In accordance with </w:t>
      </w:r>
      <w:r>
        <w:rPr>
          <w:szCs w:val="24"/>
        </w:rPr>
        <w:t>IFRS</w:t>
      </w:r>
      <w:r w:rsidRPr="00166665">
        <w:rPr>
          <w:szCs w:val="24"/>
        </w:rPr>
        <w:t>, the financial statements must contain the disclosures necessary to draw attention to the possibility that the reported financial position of the Pension Fund may have been affected by the existence of related parties and associated material transactions.  They include:</w:t>
      </w:r>
    </w:p>
    <w:p w:rsidR="00EA11A6" w:rsidRPr="00166665" w:rsidRDefault="00EA11A6" w:rsidP="00EA11A6">
      <w:pPr>
        <w:pStyle w:val="BodyTextIndent"/>
        <w:tabs>
          <w:tab w:val="clear" w:pos="1080"/>
          <w:tab w:val="left" w:pos="709"/>
        </w:tabs>
        <w:ind w:left="709"/>
        <w:rPr>
          <w:szCs w:val="24"/>
        </w:rPr>
      </w:pPr>
    </w:p>
    <w:p w:rsidR="00EA11A6" w:rsidRPr="00DB5AF2" w:rsidRDefault="00EA11A6" w:rsidP="00EA11A6">
      <w:pPr>
        <w:pStyle w:val="BodyTextIndent"/>
        <w:numPr>
          <w:ilvl w:val="0"/>
          <w:numId w:val="5"/>
        </w:numPr>
        <w:tabs>
          <w:tab w:val="clear" w:pos="360"/>
          <w:tab w:val="num" w:pos="1080"/>
        </w:tabs>
        <w:spacing w:after="240"/>
        <w:ind w:left="1080"/>
        <w:rPr>
          <w:szCs w:val="24"/>
        </w:rPr>
      </w:pPr>
      <w:r w:rsidRPr="00DB5AF2">
        <w:rPr>
          <w:szCs w:val="24"/>
        </w:rPr>
        <w:t>At 31 March 2013, Gill Kilpatrick, CPFA, was Treasurer to the Pension Fund and County Treasurer for Lancashire County Council.</w:t>
      </w:r>
    </w:p>
    <w:p w:rsidR="00EA11A6" w:rsidRDefault="00EA11A6" w:rsidP="00EA11A6">
      <w:pPr>
        <w:pStyle w:val="BodyTextIndent"/>
        <w:numPr>
          <w:ilvl w:val="0"/>
          <w:numId w:val="5"/>
        </w:numPr>
        <w:tabs>
          <w:tab w:val="clear" w:pos="360"/>
          <w:tab w:val="num" w:pos="1080"/>
        </w:tabs>
        <w:spacing w:after="240"/>
        <w:ind w:left="1080"/>
        <w:rPr>
          <w:szCs w:val="24"/>
        </w:rPr>
      </w:pPr>
      <w:r w:rsidRPr="00C6368C">
        <w:rPr>
          <w:szCs w:val="24"/>
        </w:rPr>
        <w:t xml:space="preserve">The Pension Fund includes 85 scheduled and 172 admitted bodies. </w:t>
      </w:r>
    </w:p>
    <w:p w:rsidR="00897DBF" w:rsidRDefault="00897DBF">
      <w:pPr>
        <w:pStyle w:val="BodyTextIndent"/>
        <w:tabs>
          <w:tab w:val="clear" w:pos="1080"/>
        </w:tabs>
        <w:spacing w:after="240"/>
        <w:rPr>
          <w:szCs w:val="24"/>
        </w:rPr>
      </w:pPr>
    </w:p>
    <w:p w:rsidR="00EA11A6" w:rsidRPr="00C6368C" w:rsidRDefault="00EA11A6" w:rsidP="00EA11A6">
      <w:pPr>
        <w:pStyle w:val="BodyTextIndent"/>
        <w:numPr>
          <w:ilvl w:val="0"/>
          <w:numId w:val="5"/>
        </w:numPr>
        <w:tabs>
          <w:tab w:val="clear" w:pos="360"/>
          <w:tab w:val="num" w:pos="1080"/>
        </w:tabs>
        <w:spacing w:after="240"/>
        <w:ind w:left="1080"/>
        <w:rPr>
          <w:szCs w:val="24"/>
        </w:rPr>
      </w:pPr>
      <w:r w:rsidRPr="00C6368C">
        <w:rPr>
          <w:szCs w:val="24"/>
        </w:rPr>
        <w:lastRenderedPageBreak/>
        <w:t xml:space="preserve"> The Pension Fund Committee comprises 14 County Councillors, 2 Councillors from Unitary Authorities, 2 Councillors from the Lancashire </w:t>
      </w:r>
      <w:r w:rsidR="0051624A">
        <w:rPr>
          <w:szCs w:val="24"/>
        </w:rPr>
        <w:t>District Councils</w:t>
      </w:r>
      <w:r w:rsidRPr="00C6368C">
        <w:rPr>
          <w:szCs w:val="24"/>
        </w:rPr>
        <w:t>, 2 Trade Union representatives, 1 representative from the Higher/Further education establishments and the Investment Advisory Panel.</w:t>
      </w:r>
    </w:p>
    <w:p w:rsidR="00EA11A6" w:rsidRDefault="00EA11A6" w:rsidP="00EA11A6">
      <w:pPr>
        <w:pStyle w:val="BodyTextIndent"/>
        <w:tabs>
          <w:tab w:val="clear" w:pos="1080"/>
        </w:tabs>
        <w:spacing w:after="240"/>
        <w:ind w:left="720"/>
        <w:rPr>
          <w:szCs w:val="24"/>
        </w:rPr>
      </w:pPr>
      <w:r>
        <w:rPr>
          <w:szCs w:val="24"/>
        </w:rPr>
        <w:t>The Pension Fund Committee members and senior officers of the Pension Fund were asked to complete a related party declaration for 2012/13. This revealed no material transactions between the Council and the members / officers and their families affecting involvement with the Pension Fund.  Each member of the Pension Fund Committee formally considers conflicts of interest at each meeting.</w:t>
      </w:r>
    </w:p>
    <w:p w:rsidR="00EA11A6" w:rsidRPr="000868FD" w:rsidRDefault="00EA11A6" w:rsidP="00EA11A6">
      <w:pPr>
        <w:ind w:left="709"/>
        <w:rPr>
          <w:b/>
        </w:rPr>
      </w:pPr>
      <w:r w:rsidRPr="000868FD">
        <w:rPr>
          <w:b/>
        </w:rPr>
        <w:t>Lancashire County Council</w:t>
      </w:r>
    </w:p>
    <w:p w:rsidR="00EA11A6" w:rsidRDefault="00EA11A6" w:rsidP="00EA11A6">
      <w:pPr>
        <w:ind w:left="709"/>
      </w:pPr>
    </w:p>
    <w:p w:rsidR="00EA11A6" w:rsidRDefault="00EA11A6" w:rsidP="00EA11A6">
      <w:pPr>
        <w:ind w:left="709"/>
      </w:pPr>
      <w:r>
        <w:t>The Lancashire Pension Fund is administered by Lancashire County Council. Consequently there is a strong relationship between the council and the pension fund.</w:t>
      </w:r>
    </w:p>
    <w:p w:rsidR="00EA11A6" w:rsidRDefault="00EA11A6" w:rsidP="00EA11A6">
      <w:pPr>
        <w:ind w:left="709"/>
      </w:pPr>
    </w:p>
    <w:p w:rsidR="00EA11A6" w:rsidRDefault="00EA11A6" w:rsidP="00EA11A6">
      <w:pPr>
        <w:ind w:left="709"/>
      </w:pPr>
      <w:r>
        <w:t>The council incurred costs of £3</w:t>
      </w:r>
      <w:r w:rsidR="00100128">
        <w:t>.0</w:t>
      </w:r>
      <w:r>
        <w:t xml:space="preserve"> million (2011/12: £2.9 million) in relation to the administration of the fund and was subsequently reimbursed by the fund for these expenses. The council is also the single largest employer of the members of the pension fund and contributed £63.4 million to the fund in 2012/13 (2011/12:£68.5m million). All monies owing to and due from the fund were paid in year.</w:t>
      </w:r>
    </w:p>
    <w:p w:rsidR="00EA11A6" w:rsidRDefault="00EA11A6" w:rsidP="00EA11A6">
      <w:pPr>
        <w:ind w:left="567"/>
      </w:pPr>
    </w:p>
    <w:p w:rsidR="00EA11A6" w:rsidRDefault="00EA11A6" w:rsidP="00EA11A6">
      <w:pPr>
        <w:pStyle w:val="BodyTextIndent"/>
        <w:tabs>
          <w:tab w:val="clear" w:pos="1080"/>
        </w:tabs>
        <w:spacing w:after="240"/>
        <w:ind w:left="720"/>
      </w:pPr>
      <w:r>
        <w:t>Part of the pension fund cash holdings are invested on the money markets by the treasury management operations of Lancashire Council County. During the year to 31 March 2013, the fund had an average investment balance of £125.2 million.</w:t>
      </w:r>
    </w:p>
    <w:p w:rsidR="00EA11A6" w:rsidRPr="00425DF8" w:rsidRDefault="00EA11A6" w:rsidP="00EA11A6">
      <w:pPr>
        <w:pStyle w:val="BodyTextIndent"/>
        <w:tabs>
          <w:tab w:val="clear" w:pos="1080"/>
        </w:tabs>
        <w:spacing w:after="240"/>
        <w:ind w:left="720"/>
        <w:rPr>
          <w:b/>
        </w:rPr>
      </w:pPr>
      <w:r w:rsidRPr="00425DF8">
        <w:rPr>
          <w:b/>
        </w:rPr>
        <w:t>Key management personnel</w:t>
      </w:r>
    </w:p>
    <w:p w:rsidR="00EA11A6" w:rsidRDefault="00EA11A6" w:rsidP="00EA11A6">
      <w:pPr>
        <w:pStyle w:val="BodyTextIndent"/>
        <w:tabs>
          <w:tab w:val="clear" w:pos="1080"/>
        </w:tabs>
        <w:spacing w:after="240"/>
        <w:ind w:left="720"/>
      </w:pPr>
      <w:r>
        <w:t xml:space="preserve">Paragraph 3.9.4.3 of the Code exempts local authorities from key management personnel disclosure requirements of IAS24, on the basis that the disclosure requirements for officer remuneration and members' allowances detailed in section 3.4 of the code (which are derived from the requirements of Regulation 7 (2)-(4) of the Accounts and Audit (England) </w:t>
      </w:r>
    </w:p>
    <w:p w:rsidR="00EA11A6" w:rsidRDefault="00EA11A6" w:rsidP="00EA11A6">
      <w:pPr>
        <w:pStyle w:val="BodyTextIndent"/>
        <w:tabs>
          <w:tab w:val="clear" w:pos="1080"/>
        </w:tabs>
        <w:spacing w:after="240"/>
        <w:ind w:left="720"/>
      </w:pPr>
      <w:r>
        <w:t>Regulations 2011 and Regulation 7A of the Accounts and Audit (Wales) Regulations 2005) satisfy the key management disclosure requirements of paragraph 16 of IAS24.  This applies in equal measure to the accounts of the Lancashire County Pension Fund.</w:t>
      </w:r>
    </w:p>
    <w:p w:rsidR="00EA11A6" w:rsidRDefault="00EA11A6" w:rsidP="00EA11A6">
      <w:pPr>
        <w:pStyle w:val="BodyTextIndent"/>
        <w:tabs>
          <w:tab w:val="clear" w:pos="1080"/>
        </w:tabs>
        <w:spacing w:after="240"/>
        <w:ind w:left="720"/>
      </w:pPr>
      <w:r>
        <w:t>The disclosure required by Regulation 7 (2)-(4) of the Accounts and Audit (England) Regulations can be found in the main accounts of Lancashire County Council.</w:t>
      </w:r>
      <w:r w:rsidR="0075107A">
        <w:t xml:space="preserve">  </w:t>
      </w:r>
      <w:hyperlink r:id="rId29" w:history="1">
        <w:r w:rsidR="0075107A" w:rsidRPr="0075107A">
          <w:rPr>
            <w:rStyle w:val="Hyperlink"/>
          </w:rPr>
          <w:t>Statement of Accounts</w:t>
        </w:r>
      </w:hyperlink>
    </w:p>
    <w:p w:rsidR="001C233D" w:rsidRDefault="00127CAA" w:rsidP="00EA11A6">
      <w:pPr>
        <w:pStyle w:val="BodyTextIndent"/>
        <w:tabs>
          <w:tab w:val="clear" w:pos="1080"/>
        </w:tabs>
        <w:spacing w:after="240"/>
        <w:ind w:left="720"/>
      </w:pPr>
      <w:r>
        <w:br w:type="page"/>
      </w:r>
    </w:p>
    <w:p w:rsidR="00EA11A6" w:rsidRPr="00166665" w:rsidRDefault="00EA11A6" w:rsidP="00EA11A6">
      <w:pPr>
        <w:numPr>
          <w:ilvl w:val="0"/>
          <w:numId w:val="2"/>
        </w:numPr>
        <w:tabs>
          <w:tab w:val="clear" w:pos="720"/>
          <w:tab w:val="num" w:pos="567"/>
          <w:tab w:val="num" w:pos="709"/>
        </w:tabs>
        <w:spacing w:after="240"/>
        <w:ind w:left="862" w:hanging="578"/>
        <w:rPr>
          <w:b/>
          <w:szCs w:val="24"/>
        </w:rPr>
      </w:pPr>
      <w:r w:rsidRPr="00166665">
        <w:rPr>
          <w:b/>
          <w:szCs w:val="24"/>
        </w:rPr>
        <w:t>Icelandic Investment</w:t>
      </w:r>
    </w:p>
    <w:p w:rsidR="00EA11A6" w:rsidRDefault="00EA11A6" w:rsidP="00EA11A6">
      <w:pPr>
        <w:widowControl w:val="0"/>
        <w:suppressAutoHyphens/>
        <w:ind w:left="709"/>
      </w:pPr>
      <w:r>
        <w:rPr>
          <w:szCs w:val="22"/>
        </w:rPr>
        <w:t xml:space="preserve">The Lancashire County Pension Fund had £2.4m on deposit.  </w:t>
      </w:r>
      <w:r>
        <w:t xml:space="preserve">The Winding up Board published details of LBI's financial position as at 31 December </w:t>
      </w:r>
      <w:proofErr w:type="gramStart"/>
      <w:r>
        <w:t>2012,</w:t>
      </w:r>
      <w:proofErr w:type="gramEnd"/>
      <w:r>
        <w:t xml:space="preserve"> this showed that LBI's assets, including partial payments already made in respect of priority claims were greater than the sum of priority claims. It </w:t>
      </w:r>
      <w:r w:rsidRPr="00815C08">
        <w:t>is therefore</w:t>
      </w:r>
      <w:r>
        <w:t xml:space="preserve"> still</w:t>
      </w:r>
      <w:r w:rsidRPr="00815C08">
        <w:t xml:space="preserve"> considered likely that UK local authorities will recover 100% of their deposits, subject to potential future exchange rate fluctuations.</w:t>
      </w:r>
      <w:r>
        <w:t xml:space="preserve">  Approximately 49.</w:t>
      </w:r>
      <w:r w:rsidR="00650A21">
        <w:t>7</w:t>
      </w:r>
      <w:r>
        <w:t xml:space="preserve">% of the total claim has now been repaid.  The exact timing and amounts of future distributions is not known at this stage. </w:t>
      </w:r>
    </w:p>
    <w:p w:rsidR="00EA11A6" w:rsidRDefault="00EA11A6" w:rsidP="00EA11A6">
      <w:pPr>
        <w:widowControl w:val="0"/>
        <w:suppressAutoHyphens/>
        <w:ind w:left="709"/>
      </w:pPr>
    </w:p>
    <w:p w:rsidR="001C233D" w:rsidRDefault="001C233D" w:rsidP="00EA11A6">
      <w:pPr>
        <w:widowControl w:val="0"/>
        <w:suppressAutoHyphens/>
        <w:ind w:left="709"/>
      </w:pPr>
    </w:p>
    <w:p w:rsidR="00EA11A6" w:rsidRDefault="00EA11A6" w:rsidP="00EA11A6">
      <w:pPr>
        <w:widowControl w:val="0"/>
        <w:suppressAutoHyphens/>
        <w:ind w:left="709"/>
      </w:pPr>
      <w:r>
        <w:t>The deposit is treated as an asset on the balance sheet and the carrying value is written down as distributions are received.</w:t>
      </w:r>
    </w:p>
    <w:p w:rsidR="00EA11A6" w:rsidRDefault="00EA11A6" w:rsidP="00EA11A6">
      <w:pPr>
        <w:widowControl w:val="0"/>
        <w:suppressAutoHyphens/>
        <w:ind w:left="709"/>
      </w:pPr>
    </w:p>
    <w:p w:rsidR="00EA11A6" w:rsidRDefault="00EA11A6" w:rsidP="00EA11A6">
      <w:pPr>
        <w:widowControl w:val="0"/>
        <w:suppressAutoHyphens/>
        <w:ind w:left="720"/>
      </w:pPr>
    </w:p>
    <w:p w:rsidR="00EA11A6" w:rsidRDefault="00EA11A6" w:rsidP="00EA11A6">
      <w:pPr>
        <w:pStyle w:val="ListParagraph"/>
        <w:widowControl w:val="0"/>
        <w:numPr>
          <w:ilvl w:val="0"/>
          <w:numId w:val="2"/>
        </w:numPr>
        <w:tabs>
          <w:tab w:val="clear" w:pos="720"/>
          <w:tab w:val="num" w:pos="709"/>
          <w:tab w:val="num" w:pos="862"/>
        </w:tabs>
        <w:suppressAutoHyphens/>
        <w:ind w:left="862"/>
        <w:rPr>
          <w:b/>
        </w:rPr>
      </w:pPr>
      <w:r w:rsidRPr="003253D1">
        <w:rPr>
          <w:b/>
        </w:rPr>
        <w:t>Funding Arrangements</w:t>
      </w:r>
    </w:p>
    <w:p w:rsidR="00EA11A6" w:rsidRDefault="00EA11A6" w:rsidP="00EA11A6">
      <w:pPr>
        <w:widowControl w:val="0"/>
        <w:tabs>
          <w:tab w:val="num" w:pos="567"/>
        </w:tabs>
        <w:suppressAutoHyphens/>
        <w:rPr>
          <w:b/>
        </w:rPr>
      </w:pPr>
    </w:p>
    <w:p w:rsidR="00EA11A6" w:rsidRPr="00C16856" w:rsidRDefault="00EA11A6" w:rsidP="00EA11A6">
      <w:pPr>
        <w:pStyle w:val="Heading3"/>
        <w:spacing w:before="60" w:after="60" w:line="300" w:lineRule="atLeast"/>
        <w:ind w:left="709"/>
        <w:rPr>
          <w:i w:val="0"/>
          <w:sz w:val="24"/>
          <w:szCs w:val="24"/>
          <w:u w:val="none"/>
        </w:rPr>
      </w:pPr>
      <w:r w:rsidRPr="00C16856">
        <w:rPr>
          <w:i w:val="0"/>
          <w:sz w:val="24"/>
          <w:szCs w:val="24"/>
          <w:u w:val="none"/>
        </w:rPr>
        <w:t>Accounts for the year ended 31 March 2013 - Statement by the Consulting Actuary</w:t>
      </w:r>
    </w:p>
    <w:p w:rsidR="00EA11A6" w:rsidRPr="003253D1" w:rsidRDefault="00EA11A6" w:rsidP="00EA11A6">
      <w:pPr>
        <w:widowControl w:val="0"/>
        <w:tabs>
          <w:tab w:val="num" w:pos="567"/>
        </w:tabs>
        <w:suppressAutoHyphens/>
        <w:rPr>
          <w:b/>
        </w:rPr>
      </w:pPr>
    </w:p>
    <w:p w:rsidR="00EA11A6" w:rsidRPr="008625DB" w:rsidRDefault="00EA11A6" w:rsidP="00EA11A6">
      <w:pPr>
        <w:ind w:left="709"/>
        <w:rPr>
          <w:noProof/>
        </w:rPr>
      </w:pPr>
      <w:r w:rsidRPr="008625DB">
        <w:rPr>
          <w:noProof/>
        </w:rPr>
        <w:t>This statement has been provided to meet the requirements under Regulation 34(1)(d) of The Local Government Pension Scheme (Administration) Regulations 2008.</w:t>
      </w:r>
    </w:p>
    <w:p w:rsidR="00EA11A6" w:rsidRPr="008625DB" w:rsidRDefault="00EA11A6" w:rsidP="00EA11A6">
      <w:pPr>
        <w:ind w:left="709"/>
        <w:rPr>
          <w:noProof/>
        </w:rPr>
      </w:pPr>
    </w:p>
    <w:p w:rsidR="00EA11A6" w:rsidRPr="008625DB" w:rsidRDefault="00EA11A6" w:rsidP="00EA11A6">
      <w:pPr>
        <w:ind w:left="709"/>
        <w:rPr>
          <w:noProof/>
        </w:rPr>
      </w:pPr>
      <w:r w:rsidRPr="008625DB">
        <w:rPr>
          <w:noProof/>
        </w:rPr>
        <w:t xml:space="preserve">An actuarial valuation of the Lancashire County Pension Fund was carried out as at 31 March 2010 to determine the contribution rates with effect from 1 April 2011 to 31 March 2014.  </w:t>
      </w:r>
    </w:p>
    <w:p w:rsidR="00EA11A6" w:rsidRPr="008625DB" w:rsidRDefault="00EA11A6" w:rsidP="00EA11A6">
      <w:pPr>
        <w:ind w:left="709"/>
        <w:rPr>
          <w:noProof/>
        </w:rPr>
      </w:pPr>
    </w:p>
    <w:p w:rsidR="007E671C" w:rsidRDefault="00EA11A6" w:rsidP="00EA11A6">
      <w:pPr>
        <w:pStyle w:val="Header"/>
        <w:spacing w:after="240"/>
        <w:ind w:left="709"/>
      </w:pPr>
      <w:r w:rsidRPr="008625DB">
        <w:t xml:space="preserve">On the basis of the assumptions adopted, the Fund’s assets of £3,962 million represented 80% of the Fund’s past service liabilities of £4,955 million (the “Funding Target”) at the valuation date.  </w:t>
      </w:r>
    </w:p>
    <w:p w:rsidR="007E671C" w:rsidRPr="008625DB" w:rsidRDefault="007E671C" w:rsidP="00EA11A6">
      <w:pPr>
        <w:pStyle w:val="Header"/>
        <w:spacing w:after="240"/>
        <w:ind w:left="709"/>
      </w:pPr>
    </w:p>
    <w:p w:rsidR="00EA11A6" w:rsidRPr="008625DB" w:rsidRDefault="00897DBF" w:rsidP="00EA11A6">
      <w:pPr>
        <w:pStyle w:val="Header"/>
        <w:spacing w:after="240"/>
        <w:ind w:left="567"/>
      </w:pPr>
      <w:r>
        <w:rPr>
          <w:noProof/>
        </w:rPr>
        <w:drawing>
          <wp:inline distT="0" distB="0" distL="0" distR="0">
            <wp:extent cx="5142230" cy="2303780"/>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A11A6" w:rsidRDefault="00EA11A6" w:rsidP="00EA11A6">
      <w:pPr>
        <w:pStyle w:val="Header"/>
        <w:spacing w:after="240"/>
        <w:ind w:left="567"/>
      </w:pPr>
    </w:p>
    <w:p w:rsidR="00EA11A6" w:rsidRPr="008625DB" w:rsidRDefault="00EA11A6" w:rsidP="00EA11A6">
      <w:pPr>
        <w:pStyle w:val="Header"/>
        <w:spacing w:after="240"/>
        <w:ind w:left="567"/>
      </w:pPr>
      <w:r w:rsidRPr="008625DB">
        <w:lastRenderedPageBreak/>
        <w:t xml:space="preserve">The valuation also showed that a common rate of contribution of 12.5% of pensionable pay per annum was required from employers.  The common rate is calculated as being </w:t>
      </w:r>
      <w:r w:rsidR="003444A0">
        <w:t>s</w:t>
      </w:r>
      <w:r w:rsidRPr="008625DB">
        <w:t xml:space="preserve">ufficient, together with contributions paid by members, to meet all liabilities arising in respect of service after the valuation date.  </w:t>
      </w:r>
    </w:p>
    <w:p w:rsidR="00EA11A6" w:rsidRDefault="00EA11A6" w:rsidP="00EA11A6">
      <w:pPr>
        <w:pStyle w:val="Header"/>
        <w:spacing w:after="240"/>
        <w:ind w:left="567"/>
      </w:pPr>
      <w:r w:rsidRPr="008625DB">
        <w:t>Adopting the same method and assumptions as used for assessing the Funding Target the deficit would be eliminated by an average additional contribution rate of 6.6% of pensionable pay for 19 years. This would imply an average employer contribution rate of 19.1% of pensionable pay in total.</w:t>
      </w:r>
    </w:p>
    <w:p w:rsidR="00EA11A6" w:rsidRDefault="00EA11A6" w:rsidP="00EA11A6">
      <w:pPr>
        <w:ind w:left="567"/>
        <w:rPr>
          <w:noProof/>
        </w:rPr>
      </w:pPr>
      <w:r w:rsidRPr="008625DB">
        <w:rPr>
          <w:noProof/>
        </w:rPr>
        <w:t xml:space="preserve">Further details regarding the results of the valuation are contained in our formal report on the actuarial valuation dated 31 March 2011. </w:t>
      </w:r>
    </w:p>
    <w:p w:rsidR="00EA11A6" w:rsidRDefault="00EA11A6" w:rsidP="00EA11A6">
      <w:pPr>
        <w:ind w:left="567"/>
        <w:rPr>
          <w:noProof/>
        </w:rPr>
      </w:pPr>
    </w:p>
    <w:p w:rsidR="00EA11A6" w:rsidRDefault="00EA11A6" w:rsidP="00EA11A6">
      <w:pPr>
        <w:pStyle w:val="Header"/>
        <w:spacing w:after="240"/>
        <w:ind w:left="567"/>
      </w:pPr>
      <w:r w:rsidRPr="008625DB">
        <w:t>In practice, each individual employer’s position is assessed separately and the contributions required are set out in our report. In addition to the certified contribution rates, payments to cover additional liabilities arising from early retirements (other than ill-health retirements) will be made to the Fund by the employers (although certain employers have some allowance for non-ill health early retirement costs included in their certified contribution rate).</w:t>
      </w:r>
    </w:p>
    <w:p w:rsidR="00EA11A6" w:rsidRDefault="00EA11A6" w:rsidP="00EA11A6">
      <w:pPr>
        <w:pStyle w:val="Header"/>
        <w:spacing w:after="240"/>
        <w:ind w:left="567"/>
      </w:pPr>
      <w:r w:rsidRPr="008625DB">
        <w:t xml:space="preserve">The funding plan adopted in assessing the contributions for each individual employer is in accordance with </w:t>
      </w:r>
      <w:proofErr w:type="gramStart"/>
      <w:r w:rsidRPr="008625DB">
        <w:t xml:space="preserve">the </w:t>
      </w:r>
      <w:r w:rsidR="00701F50">
        <w:t xml:space="preserve"> </w:t>
      </w:r>
      <w:proofErr w:type="gramEnd"/>
      <w:r w:rsidR="001C31F0">
        <w:fldChar w:fldCharType="begin"/>
      </w:r>
      <w:r w:rsidR="00701F50">
        <w:instrText xml:space="preserve"> HYPERLINK "http://www.yourpensionservice.org.uk/web/viewdoc.asp?id=67735" </w:instrText>
      </w:r>
      <w:r w:rsidR="001C31F0">
        <w:fldChar w:fldCharType="separate"/>
      </w:r>
      <w:r w:rsidR="00701F50" w:rsidRPr="00701F50">
        <w:rPr>
          <w:rStyle w:val="Hyperlink"/>
        </w:rPr>
        <w:t>Funding Strategy Statement</w:t>
      </w:r>
      <w:r w:rsidR="001C31F0">
        <w:fldChar w:fldCharType="end"/>
      </w:r>
      <w:r w:rsidR="00127CAA">
        <w:t xml:space="preserve"> (</w:t>
      </w:r>
      <w:proofErr w:type="spellStart"/>
      <w:r w:rsidR="00127CAA">
        <w:t>FSS</w:t>
      </w:r>
      <w:proofErr w:type="spellEnd"/>
      <w:r w:rsidR="00127CAA">
        <w:t>).</w:t>
      </w:r>
      <w:r w:rsidRPr="008625DB">
        <w:t xml:space="preserve"> Different approaches adopted in implementing contribution increases and deficit recovery periods are as determined through the FSS consultation process. </w:t>
      </w:r>
    </w:p>
    <w:p w:rsidR="00EA11A6" w:rsidRDefault="00EA11A6" w:rsidP="00EA11A6">
      <w:pPr>
        <w:pStyle w:val="Header"/>
        <w:ind w:left="567"/>
      </w:pPr>
      <w:r w:rsidRPr="008625DB">
        <w:t>The valuation was carried out using the projected unit actuarial method and the main actuarial assumptions used for assessing the Funding Target and the common contribution rate were as follows:</w:t>
      </w:r>
    </w:p>
    <w:p w:rsidR="007E671C" w:rsidRDefault="007E671C" w:rsidP="00EA11A6">
      <w:pPr>
        <w:pStyle w:val="Header"/>
        <w:ind w:left="567"/>
      </w:pPr>
    </w:p>
    <w:p w:rsidR="007E671C" w:rsidRPr="008625DB" w:rsidRDefault="007E671C" w:rsidP="00EA11A6">
      <w:pPr>
        <w:pStyle w:val="Header"/>
        <w:ind w:left="567"/>
      </w:pPr>
    </w:p>
    <w:tbl>
      <w:tblPr>
        <w:tblW w:w="0" w:type="auto"/>
        <w:tblInd w:w="639" w:type="dxa"/>
        <w:tblBorders>
          <w:top w:val="single" w:sz="4" w:space="0" w:color="auto"/>
          <w:bottom w:val="single" w:sz="4" w:space="0" w:color="auto"/>
          <w:insideH w:val="single" w:sz="4" w:space="0" w:color="auto"/>
        </w:tblBorders>
        <w:tblLayout w:type="fixed"/>
        <w:tblCellMar>
          <w:left w:w="72" w:type="dxa"/>
          <w:right w:w="72" w:type="dxa"/>
        </w:tblCellMar>
        <w:tblLook w:val="0000"/>
      </w:tblPr>
      <w:tblGrid>
        <w:gridCol w:w="3708"/>
        <w:gridCol w:w="2223"/>
        <w:gridCol w:w="2565"/>
      </w:tblGrid>
      <w:tr w:rsidR="00EA11A6" w:rsidRPr="008625DB" w:rsidTr="003A51FC">
        <w:trPr>
          <w:cantSplit/>
          <w:tblHeader/>
        </w:trPr>
        <w:tc>
          <w:tcPr>
            <w:tcW w:w="3708" w:type="dxa"/>
            <w:tcBorders>
              <w:top w:val="nil"/>
              <w:bottom w:val="nil"/>
            </w:tcBorders>
            <w:shd w:val="clear" w:color="auto" w:fill="333399"/>
            <w:vAlign w:val="bottom"/>
          </w:tcPr>
          <w:p w:rsidR="00EA11A6" w:rsidRPr="008625DB" w:rsidRDefault="00EA11A6" w:rsidP="003A51FC">
            <w:pPr>
              <w:pStyle w:val="TableHeadingText"/>
              <w:ind w:left="567"/>
              <w:rPr>
                <w:color w:val="FFFFFF"/>
              </w:rPr>
            </w:pPr>
          </w:p>
        </w:tc>
        <w:tc>
          <w:tcPr>
            <w:tcW w:w="2223" w:type="dxa"/>
            <w:tcBorders>
              <w:top w:val="nil"/>
              <w:bottom w:val="nil"/>
            </w:tcBorders>
            <w:shd w:val="clear" w:color="auto" w:fill="333399"/>
            <w:vAlign w:val="bottom"/>
          </w:tcPr>
          <w:p w:rsidR="00EA11A6" w:rsidRPr="008625DB" w:rsidRDefault="00EA11A6" w:rsidP="003A51FC">
            <w:pPr>
              <w:pStyle w:val="TableHeadingText"/>
              <w:ind w:left="567"/>
              <w:rPr>
                <w:color w:val="FFFFFF"/>
              </w:rPr>
            </w:pPr>
            <w:r w:rsidRPr="008625DB">
              <w:rPr>
                <w:color w:val="FFFFFF"/>
              </w:rPr>
              <w:t>For past service liabilities (Funding Target)</w:t>
            </w:r>
          </w:p>
        </w:tc>
        <w:tc>
          <w:tcPr>
            <w:tcW w:w="2565" w:type="dxa"/>
            <w:tcBorders>
              <w:top w:val="nil"/>
              <w:bottom w:val="nil"/>
            </w:tcBorders>
            <w:shd w:val="clear" w:color="auto" w:fill="333399"/>
            <w:vAlign w:val="bottom"/>
          </w:tcPr>
          <w:p w:rsidR="00EA11A6" w:rsidRPr="008625DB" w:rsidRDefault="00EA11A6" w:rsidP="003A51FC">
            <w:pPr>
              <w:pStyle w:val="TableHeadingText"/>
              <w:ind w:left="567"/>
              <w:rPr>
                <w:color w:val="FFFFFF"/>
              </w:rPr>
            </w:pPr>
            <w:r w:rsidRPr="008625DB">
              <w:rPr>
                <w:color w:val="FFFFFF"/>
              </w:rPr>
              <w:t>For future service liabilities (Common Contribution Rate)</w:t>
            </w:r>
          </w:p>
        </w:tc>
      </w:tr>
      <w:tr w:rsidR="00EA11A6" w:rsidRPr="008625DB" w:rsidTr="003A51FC">
        <w:trPr>
          <w:cantSplit/>
        </w:trPr>
        <w:tc>
          <w:tcPr>
            <w:tcW w:w="3708" w:type="dxa"/>
            <w:tcBorders>
              <w:top w:val="nil"/>
            </w:tcBorders>
            <w:shd w:val="clear" w:color="auto" w:fill="auto"/>
          </w:tcPr>
          <w:p w:rsidR="00EA11A6" w:rsidRPr="008625DB" w:rsidRDefault="00EA11A6" w:rsidP="003A51FC">
            <w:pPr>
              <w:pStyle w:val="TableText"/>
              <w:ind w:left="567"/>
            </w:pPr>
            <w:r w:rsidRPr="008625DB">
              <w:t>Rate of return on investments (discount rate)</w:t>
            </w:r>
          </w:p>
          <w:p w:rsidR="00EA11A6" w:rsidRPr="008625DB" w:rsidRDefault="00EA11A6" w:rsidP="003A51FC">
            <w:pPr>
              <w:pStyle w:val="TableText"/>
              <w:spacing w:before="0" w:after="0"/>
              <w:ind w:left="567"/>
            </w:pPr>
            <w:r w:rsidRPr="008625DB">
              <w:t>- pre retirement</w:t>
            </w:r>
          </w:p>
          <w:p w:rsidR="00EA11A6" w:rsidRPr="008625DB" w:rsidRDefault="00EA11A6" w:rsidP="003A51FC">
            <w:pPr>
              <w:pStyle w:val="TableText"/>
              <w:spacing w:before="0" w:after="0"/>
              <w:ind w:left="567"/>
            </w:pPr>
            <w:r w:rsidRPr="008625DB">
              <w:t>- post retirement</w:t>
            </w:r>
          </w:p>
        </w:tc>
        <w:tc>
          <w:tcPr>
            <w:tcW w:w="2223" w:type="dxa"/>
            <w:tcBorders>
              <w:top w:val="nil"/>
            </w:tcBorders>
            <w:shd w:val="clear" w:color="auto" w:fill="auto"/>
          </w:tcPr>
          <w:p w:rsidR="00EA11A6" w:rsidRPr="008625DB" w:rsidRDefault="00EA11A6" w:rsidP="003A51FC">
            <w:pPr>
              <w:pStyle w:val="TableText"/>
              <w:ind w:left="567"/>
            </w:pPr>
          </w:p>
          <w:p w:rsidR="00EA11A6" w:rsidRPr="008625DB" w:rsidRDefault="00EA11A6" w:rsidP="003A51FC">
            <w:pPr>
              <w:pStyle w:val="TableText"/>
              <w:spacing w:before="0" w:after="0"/>
              <w:ind w:left="567"/>
            </w:pPr>
            <w:r w:rsidRPr="008625DB">
              <w:t>7.0% per annum</w:t>
            </w:r>
          </w:p>
          <w:p w:rsidR="00EA11A6" w:rsidRPr="008625DB" w:rsidRDefault="00EA11A6" w:rsidP="003A51FC">
            <w:pPr>
              <w:pStyle w:val="TableText"/>
              <w:spacing w:before="0" w:after="0"/>
              <w:ind w:left="567"/>
            </w:pPr>
            <w:r w:rsidRPr="008625DB">
              <w:t>5.5% per annum</w:t>
            </w:r>
          </w:p>
        </w:tc>
        <w:tc>
          <w:tcPr>
            <w:tcW w:w="2565" w:type="dxa"/>
            <w:tcBorders>
              <w:top w:val="nil"/>
            </w:tcBorders>
            <w:shd w:val="clear" w:color="auto" w:fill="auto"/>
          </w:tcPr>
          <w:p w:rsidR="00EA11A6" w:rsidRPr="008625DB" w:rsidRDefault="00EA11A6" w:rsidP="003A51FC">
            <w:pPr>
              <w:pStyle w:val="TableText"/>
              <w:ind w:left="567"/>
            </w:pPr>
          </w:p>
          <w:p w:rsidR="00EA11A6" w:rsidRPr="008625DB" w:rsidRDefault="00EA11A6" w:rsidP="003A51FC">
            <w:pPr>
              <w:pStyle w:val="TableText"/>
              <w:spacing w:before="0" w:after="0"/>
              <w:ind w:left="567"/>
            </w:pPr>
            <w:r w:rsidRPr="008625DB">
              <w:t>6.75% per annum</w:t>
            </w:r>
          </w:p>
          <w:p w:rsidR="00EA11A6" w:rsidRPr="008625DB" w:rsidRDefault="00EA11A6" w:rsidP="003A51FC">
            <w:pPr>
              <w:pStyle w:val="TableText"/>
              <w:spacing w:before="0" w:after="0"/>
              <w:ind w:left="567"/>
            </w:pPr>
            <w:r w:rsidRPr="008625DB">
              <w:t>6.75% per annum</w:t>
            </w:r>
          </w:p>
        </w:tc>
      </w:tr>
      <w:tr w:rsidR="00EA11A6" w:rsidRPr="008625DB" w:rsidTr="003A51FC">
        <w:trPr>
          <w:cantSplit/>
        </w:trPr>
        <w:tc>
          <w:tcPr>
            <w:tcW w:w="3708" w:type="dxa"/>
            <w:shd w:val="clear" w:color="auto" w:fill="auto"/>
          </w:tcPr>
          <w:p w:rsidR="00EA11A6" w:rsidRPr="008625DB" w:rsidRDefault="00EA11A6" w:rsidP="003A51FC">
            <w:pPr>
              <w:pStyle w:val="TableText"/>
              <w:ind w:left="567"/>
            </w:pPr>
            <w:r w:rsidRPr="008625DB">
              <w:t>Rate of pay increases</w:t>
            </w:r>
          </w:p>
        </w:tc>
        <w:tc>
          <w:tcPr>
            <w:tcW w:w="2223" w:type="dxa"/>
            <w:shd w:val="clear" w:color="auto" w:fill="auto"/>
          </w:tcPr>
          <w:p w:rsidR="00EA11A6" w:rsidRPr="008625DB" w:rsidRDefault="00EA11A6" w:rsidP="003A51FC">
            <w:pPr>
              <w:pStyle w:val="TableText"/>
              <w:ind w:left="567"/>
            </w:pPr>
            <w:r w:rsidRPr="008625DB">
              <w:t>5.0% per annum</w:t>
            </w:r>
          </w:p>
        </w:tc>
        <w:tc>
          <w:tcPr>
            <w:tcW w:w="2565" w:type="dxa"/>
            <w:shd w:val="clear" w:color="auto" w:fill="auto"/>
          </w:tcPr>
          <w:p w:rsidR="00EA11A6" w:rsidRPr="008625DB" w:rsidRDefault="00EA11A6" w:rsidP="003A51FC">
            <w:pPr>
              <w:pStyle w:val="TableText"/>
              <w:ind w:left="567"/>
            </w:pPr>
            <w:r w:rsidRPr="008625DB">
              <w:t>5.0% per annum</w:t>
            </w:r>
          </w:p>
        </w:tc>
      </w:tr>
      <w:tr w:rsidR="00EA11A6" w:rsidRPr="008625DB" w:rsidTr="003A51FC">
        <w:trPr>
          <w:cantSplit/>
        </w:trPr>
        <w:tc>
          <w:tcPr>
            <w:tcW w:w="3708" w:type="dxa"/>
            <w:shd w:val="clear" w:color="auto" w:fill="auto"/>
          </w:tcPr>
          <w:p w:rsidR="00EA11A6" w:rsidRPr="008625DB" w:rsidRDefault="00EA11A6" w:rsidP="003A51FC">
            <w:pPr>
              <w:pStyle w:val="TableText"/>
              <w:spacing w:before="0" w:after="0"/>
              <w:ind w:left="567"/>
            </w:pPr>
            <w:r w:rsidRPr="008625DB">
              <w:t xml:space="preserve">Rate of increases in pensions </w:t>
            </w:r>
          </w:p>
          <w:p w:rsidR="00EA11A6" w:rsidRPr="008625DB" w:rsidRDefault="00EA11A6" w:rsidP="003A51FC">
            <w:pPr>
              <w:pStyle w:val="TableText"/>
              <w:spacing w:before="0" w:after="0"/>
              <w:ind w:left="567"/>
            </w:pPr>
            <w:r w:rsidRPr="008625DB">
              <w:t xml:space="preserve">in payment (in excess of </w:t>
            </w:r>
          </w:p>
          <w:p w:rsidR="00EA11A6" w:rsidRPr="008625DB" w:rsidRDefault="00EA11A6" w:rsidP="003A51FC">
            <w:pPr>
              <w:pStyle w:val="TableText"/>
              <w:spacing w:before="0" w:after="0"/>
              <w:ind w:left="567"/>
            </w:pPr>
            <w:r w:rsidRPr="008625DB">
              <w:t>Guaranteed Minimum Pension)</w:t>
            </w:r>
          </w:p>
        </w:tc>
        <w:tc>
          <w:tcPr>
            <w:tcW w:w="2223" w:type="dxa"/>
            <w:shd w:val="clear" w:color="auto" w:fill="auto"/>
            <w:vAlign w:val="center"/>
          </w:tcPr>
          <w:p w:rsidR="00EA11A6" w:rsidRPr="008625DB" w:rsidRDefault="00EA11A6" w:rsidP="003A51FC">
            <w:pPr>
              <w:pStyle w:val="TableText"/>
              <w:spacing w:before="0" w:after="0"/>
              <w:ind w:left="567"/>
            </w:pPr>
            <w:r w:rsidRPr="008625DB">
              <w:t>3.0% per annum</w:t>
            </w:r>
          </w:p>
        </w:tc>
        <w:tc>
          <w:tcPr>
            <w:tcW w:w="2565" w:type="dxa"/>
            <w:shd w:val="clear" w:color="auto" w:fill="auto"/>
            <w:vAlign w:val="center"/>
          </w:tcPr>
          <w:p w:rsidR="00EA11A6" w:rsidRPr="008625DB" w:rsidRDefault="00EA11A6" w:rsidP="003A51FC">
            <w:pPr>
              <w:pStyle w:val="TableText"/>
              <w:spacing w:before="0" w:after="0"/>
              <w:ind w:left="567"/>
            </w:pPr>
            <w:r w:rsidRPr="008625DB">
              <w:t>3.0% per annum</w:t>
            </w:r>
          </w:p>
        </w:tc>
      </w:tr>
    </w:tbl>
    <w:p w:rsidR="00EA11A6" w:rsidRPr="008625DB" w:rsidRDefault="00EA11A6" w:rsidP="00EA11A6">
      <w:pPr>
        <w:pStyle w:val="Header"/>
        <w:spacing w:after="240"/>
        <w:ind w:left="567"/>
        <w:rPr>
          <w:sz w:val="16"/>
          <w:szCs w:val="16"/>
        </w:rPr>
      </w:pPr>
    </w:p>
    <w:p w:rsidR="00EA11A6" w:rsidRPr="008625DB" w:rsidRDefault="00EA11A6" w:rsidP="00EA11A6">
      <w:pPr>
        <w:pStyle w:val="Header"/>
        <w:spacing w:after="240"/>
        <w:ind w:left="567"/>
      </w:pPr>
      <w:r w:rsidRPr="008625DB">
        <w:t>The assets were assessed at market value.</w:t>
      </w:r>
    </w:p>
    <w:p w:rsidR="00EA11A6" w:rsidRDefault="00EA11A6" w:rsidP="00EA11A6">
      <w:pPr>
        <w:pStyle w:val="Header"/>
        <w:ind w:left="567"/>
      </w:pPr>
      <w:r w:rsidRPr="008625DB">
        <w:t>The next triennial actuarial valuation of the Fund is due as at 31 March 2013.  Based on the results of this valuation, the contribution rates payable by the individual employers will be revised with effect from 1 April 2014.</w:t>
      </w:r>
    </w:p>
    <w:p w:rsidR="003444A0" w:rsidRDefault="003444A0" w:rsidP="00EA11A6">
      <w:pPr>
        <w:pStyle w:val="Header"/>
        <w:ind w:left="567"/>
      </w:pPr>
    </w:p>
    <w:p w:rsidR="00EA11A6" w:rsidRDefault="00127CAA" w:rsidP="00EA11A6">
      <w:pPr>
        <w:pStyle w:val="Header"/>
        <w:ind w:left="567"/>
      </w:pPr>
      <w:r>
        <w:br w:type="page"/>
      </w:r>
    </w:p>
    <w:p w:rsidR="00EA11A6" w:rsidRDefault="00EA11A6" w:rsidP="00EA11A6">
      <w:pPr>
        <w:pStyle w:val="Header"/>
        <w:ind w:left="567"/>
      </w:pPr>
    </w:p>
    <w:p w:rsidR="00EA11A6" w:rsidRPr="008625DB" w:rsidRDefault="00EA11A6" w:rsidP="00EA11A6">
      <w:pPr>
        <w:pStyle w:val="Header"/>
        <w:numPr>
          <w:ilvl w:val="0"/>
          <w:numId w:val="2"/>
        </w:numPr>
        <w:tabs>
          <w:tab w:val="clear" w:pos="720"/>
          <w:tab w:val="num" w:pos="567"/>
          <w:tab w:val="num" w:pos="862"/>
        </w:tabs>
        <w:ind w:left="862"/>
        <w:rPr>
          <w:b/>
        </w:rPr>
      </w:pPr>
      <w:r w:rsidRPr="008625DB">
        <w:rPr>
          <w:b/>
        </w:rPr>
        <w:t xml:space="preserve">Actuarial Present Value of Promised Retirement Benefits </w:t>
      </w:r>
    </w:p>
    <w:p w:rsidR="00EA11A6" w:rsidRPr="008625DB" w:rsidRDefault="00EA11A6" w:rsidP="00EA11A6">
      <w:pPr>
        <w:pStyle w:val="Header"/>
        <w:ind w:left="567"/>
      </w:pPr>
    </w:p>
    <w:p w:rsidR="00EA11A6" w:rsidRDefault="00EA11A6" w:rsidP="00EA11A6">
      <w:pPr>
        <w:pStyle w:val="Header"/>
        <w:ind w:left="567"/>
      </w:pPr>
    </w:p>
    <w:p w:rsidR="00EA11A6" w:rsidRDefault="00EA11A6" w:rsidP="00EA11A6">
      <w:pPr>
        <w:pStyle w:val="Header"/>
        <w:ind w:left="567"/>
      </w:pPr>
      <w:r w:rsidRPr="008625DB">
        <w:t>IAS 26 requires the present value of the Fund’s promised retirement benefits to be disclosed, and for this purpose the actuarial assumptions and methodology used should be based on IAS 19 rather than the assumptions and methodology used for funding purposes.</w:t>
      </w:r>
    </w:p>
    <w:p w:rsidR="001C233D" w:rsidRPr="008625DB" w:rsidRDefault="001C233D" w:rsidP="00EA11A6">
      <w:pPr>
        <w:pStyle w:val="Header"/>
        <w:ind w:left="567"/>
      </w:pPr>
    </w:p>
    <w:p w:rsidR="00EA11A6" w:rsidRPr="008625DB" w:rsidRDefault="00EA11A6" w:rsidP="00EA11A6">
      <w:pPr>
        <w:pStyle w:val="Header"/>
        <w:ind w:left="567"/>
      </w:pPr>
      <w:r w:rsidRPr="008625DB">
        <w:t>To assess the value of the benefits on this basis, we have used the following financial assumptions as at 31 March 2013 (the 31 March 2012 assumptions are included for comparison):</w:t>
      </w:r>
    </w:p>
    <w:p w:rsidR="003056E9" w:rsidRDefault="003056E9" w:rsidP="00F332F8">
      <w:pPr>
        <w:spacing w:after="240"/>
        <w:ind w:left="720"/>
        <w:jc w:val="both"/>
        <w:rPr>
          <w:szCs w:val="24"/>
        </w:rPr>
      </w:pPr>
    </w:p>
    <w:tbl>
      <w:tblPr>
        <w:tblW w:w="12773" w:type="dxa"/>
        <w:tblInd w:w="57" w:type="dxa"/>
        <w:tblBorders>
          <w:top w:val="single" w:sz="4" w:space="0" w:color="auto"/>
          <w:bottom w:val="single" w:sz="4" w:space="0" w:color="auto"/>
          <w:insideH w:val="single" w:sz="4" w:space="0" w:color="auto"/>
        </w:tblBorders>
        <w:tblLayout w:type="fixed"/>
        <w:tblCellMar>
          <w:left w:w="72" w:type="dxa"/>
          <w:right w:w="72" w:type="dxa"/>
        </w:tblCellMar>
        <w:tblLook w:val="0000"/>
      </w:tblPr>
      <w:tblGrid>
        <w:gridCol w:w="582"/>
        <w:gridCol w:w="3708"/>
        <w:gridCol w:w="2223"/>
        <w:gridCol w:w="2565"/>
        <w:gridCol w:w="1427"/>
        <w:gridCol w:w="2268"/>
      </w:tblGrid>
      <w:tr w:rsidR="00EA11A6" w:rsidRPr="008625DB" w:rsidTr="003A51FC">
        <w:trPr>
          <w:gridBefore w:val="1"/>
          <w:gridAfter w:val="2"/>
          <w:wBefore w:w="582" w:type="dxa"/>
          <w:wAfter w:w="3695" w:type="dxa"/>
          <w:cantSplit/>
          <w:tblHeader/>
        </w:trPr>
        <w:tc>
          <w:tcPr>
            <w:tcW w:w="3708" w:type="dxa"/>
            <w:tcBorders>
              <w:top w:val="nil"/>
              <w:bottom w:val="nil"/>
            </w:tcBorders>
            <w:shd w:val="clear" w:color="auto" w:fill="002C77"/>
            <w:vAlign w:val="bottom"/>
          </w:tcPr>
          <w:p w:rsidR="00EA11A6" w:rsidRPr="008625DB" w:rsidRDefault="00EA11A6" w:rsidP="003A51FC">
            <w:pPr>
              <w:pStyle w:val="TableHeadingText"/>
              <w:ind w:left="567"/>
              <w:rPr>
                <w:color w:val="FFFFFF"/>
              </w:rPr>
            </w:pPr>
          </w:p>
        </w:tc>
        <w:tc>
          <w:tcPr>
            <w:tcW w:w="2223" w:type="dxa"/>
            <w:tcBorders>
              <w:top w:val="nil"/>
              <w:bottom w:val="nil"/>
            </w:tcBorders>
            <w:shd w:val="clear" w:color="auto" w:fill="002C77"/>
            <w:vAlign w:val="bottom"/>
          </w:tcPr>
          <w:p w:rsidR="00EA11A6" w:rsidRPr="008625DB" w:rsidRDefault="00EA11A6" w:rsidP="003A51FC">
            <w:pPr>
              <w:pStyle w:val="TableHeadingText"/>
              <w:ind w:left="567"/>
              <w:rPr>
                <w:color w:val="FFFFFF"/>
              </w:rPr>
            </w:pPr>
            <w:r w:rsidRPr="008625DB">
              <w:rPr>
                <w:color w:val="FFFFFF"/>
              </w:rPr>
              <w:t>31 March 2012</w:t>
            </w:r>
          </w:p>
        </w:tc>
        <w:tc>
          <w:tcPr>
            <w:tcW w:w="2565" w:type="dxa"/>
            <w:tcBorders>
              <w:top w:val="nil"/>
              <w:bottom w:val="nil"/>
            </w:tcBorders>
            <w:shd w:val="clear" w:color="auto" w:fill="002C77"/>
            <w:vAlign w:val="bottom"/>
          </w:tcPr>
          <w:p w:rsidR="00EA11A6" w:rsidRPr="008625DB" w:rsidRDefault="00EA11A6" w:rsidP="003A51FC">
            <w:pPr>
              <w:pStyle w:val="TableHeadingText"/>
              <w:ind w:left="567"/>
              <w:rPr>
                <w:color w:val="FFFFFF"/>
              </w:rPr>
            </w:pPr>
            <w:r w:rsidRPr="008625DB">
              <w:rPr>
                <w:color w:val="FFFFFF"/>
              </w:rPr>
              <w:t>31 March 2013</w:t>
            </w:r>
          </w:p>
        </w:tc>
      </w:tr>
      <w:tr w:rsidR="00EA11A6" w:rsidRPr="008625DB" w:rsidTr="003A51FC">
        <w:trPr>
          <w:gridBefore w:val="1"/>
          <w:gridAfter w:val="2"/>
          <w:wBefore w:w="582" w:type="dxa"/>
          <w:wAfter w:w="3695" w:type="dxa"/>
          <w:cantSplit/>
        </w:trPr>
        <w:tc>
          <w:tcPr>
            <w:tcW w:w="3708" w:type="dxa"/>
            <w:tcBorders>
              <w:top w:val="nil"/>
            </w:tcBorders>
            <w:shd w:val="clear" w:color="auto" w:fill="auto"/>
          </w:tcPr>
          <w:p w:rsidR="00EA11A6" w:rsidRPr="008625DB" w:rsidRDefault="00EA11A6" w:rsidP="003A51FC">
            <w:pPr>
              <w:pStyle w:val="TableText"/>
              <w:ind w:left="567"/>
            </w:pPr>
            <w:r w:rsidRPr="008625DB">
              <w:t>Rate of return on investments (discount rate)</w:t>
            </w:r>
          </w:p>
        </w:tc>
        <w:tc>
          <w:tcPr>
            <w:tcW w:w="2223" w:type="dxa"/>
            <w:tcBorders>
              <w:top w:val="nil"/>
            </w:tcBorders>
            <w:shd w:val="clear" w:color="auto" w:fill="auto"/>
          </w:tcPr>
          <w:p w:rsidR="00EA11A6" w:rsidRPr="008625DB" w:rsidRDefault="00EA11A6" w:rsidP="003A51FC">
            <w:pPr>
              <w:pStyle w:val="TableText"/>
              <w:spacing w:before="0" w:after="0"/>
              <w:ind w:left="567"/>
            </w:pPr>
            <w:r w:rsidRPr="008625DB">
              <w:t>4.9% per annum</w:t>
            </w:r>
          </w:p>
        </w:tc>
        <w:tc>
          <w:tcPr>
            <w:tcW w:w="2565" w:type="dxa"/>
            <w:tcBorders>
              <w:top w:val="nil"/>
            </w:tcBorders>
            <w:shd w:val="clear" w:color="auto" w:fill="auto"/>
          </w:tcPr>
          <w:p w:rsidR="00EA11A6" w:rsidRPr="008625DB" w:rsidRDefault="00EA11A6" w:rsidP="003A51FC">
            <w:pPr>
              <w:pStyle w:val="TableText"/>
              <w:spacing w:before="0" w:after="0"/>
              <w:ind w:left="567"/>
            </w:pPr>
            <w:r w:rsidRPr="008625DB">
              <w:t>4.2% per annum</w:t>
            </w:r>
          </w:p>
        </w:tc>
      </w:tr>
      <w:tr w:rsidR="00EA11A6" w:rsidRPr="008625DB" w:rsidTr="003A51FC">
        <w:trPr>
          <w:gridBefore w:val="1"/>
          <w:gridAfter w:val="2"/>
          <w:wBefore w:w="582" w:type="dxa"/>
          <w:wAfter w:w="3695" w:type="dxa"/>
          <w:cantSplit/>
        </w:trPr>
        <w:tc>
          <w:tcPr>
            <w:tcW w:w="3708" w:type="dxa"/>
            <w:shd w:val="clear" w:color="auto" w:fill="auto"/>
          </w:tcPr>
          <w:p w:rsidR="00EA11A6" w:rsidRPr="008625DB" w:rsidRDefault="00EA11A6" w:rsidP="003A51FC">
            <w:pPr>
              <w:pStyle w:val="TableText"/>
              <w:ind w:left="567"/>
            </w:pPr>
            <w:r w:rsidRPr="008625DB">
              <w:t xml:space="preserve">Rate of pay increases </w:t>
            </w:r>
          </w:p>
        </w:tc>
        <w:tc>
          <w:tcPr>
            <w:tcW w:w="2223" w:type="dxa"/>
            <w:shd w:val="clear" w:color="auto" w:fill="auto"/>
          </w:tcPr>
          <w:p w:rsidR="00EA11A6" w:rsidRPr="008625DB" w:rsidRDefault="00EA11A6" w:rsidP="003A51FC">
            <w:pPr>
              <w:pStyle w:val="TableText"/>
              <w:ind w:left="567"/>
            </w:pPr>
            <w:r w:rsidRPr="008625DB">
              <w:t>4.5% per annum</w:t>
            </w:r>
          </w:p>
        </w:tc>
        <w:tc>
          <w:tcPr>
            <w:tcW w:w="2565" w:type="dxa"/>
            <w:shd w:val="clear" w:color="auto" w:fill="auto"/>
          </w:tcPr>
          <w:p w:rsidR="00EA11A6" w:rsidRPr="008625DB" w:rsidRDefault="00EA11A6" w:rsidP="003A51FC">
            <w:pPr>
              <w:pStyle w:val="TableText"/>
              <w:ind w:left="567"/>
            </w:pPr>
            <w:r w:rsidRPr="008625DB">
              <w:t>4.4% per annum</w:t>
            </w:r>
          </w:p>
        </w:tc>
      </w:tr>
      <w:tr w:rsidR="00EA11A6" w:rsidRPr="008625DB" w:rsidTr="003A51FC">
        <w:trPr>
          <w:gridBefore w:val="1"/>
          <w:gridAfter w:val="2"/>
          <w:wBefore w:w="582" w:type="dxa"/>
          <w:wAfter w:w="3695" w:type="dxa"/>
          <w:cantSplit/>
        </w:trPr>
        <w:tc>
          <w:tcPr>
            <w:tcW w:w="3708" w:type="dxa"/>
            <w:shd w:val="clear" w:color="auto" w:fill="auto"/>
          </w:tcPr>
          <w:p w:rsidR="00EA11A6" w:rsidRPr="008625DB" w:rsidRDefault="00EA11A6" w:rsidP="003A51FC">
            <w:pPr>
              <w:pStyle w:val="TableText"/>
              <w:spacing w:before="0" w:after="0"/>
              <w:ind w:left="567"/>
            </w:pPr>
            <w:r w:rsidRPr="008625DB">
              <w:t xml:space="preserve">Rate of increases in pensions </w:t>
            </w:r>
          </w:p>
          <w:p w:rsidR="00EA11A6" w:rsidRPr="008625DB" w:rsidRDefault="00EA11A6" w:rsidP="003A51FC">
            <w:pPr>
              <w:pStyle w:val="TableText"/>
              <w:spacing w:before="0" w:after="0"/>
              <w:ind w:left="567"/>
            </w:pPr>
            <w:r w:rsidRPr="008625DB">
              <w:t xml:space="preserve">in payment (in excess of </w:t>
            </w:r>
          </w:p>
          <w:p w:rsidR="00EA11A6" w:rsidRPr="008625DB" w:rsidRDefault="00EA11A6" w:rsidP="003A51FC">
            <w:pPr>
              <w:pStyle w:val="TableText"/>
              <w:spacing w:before="0" w:after="0"/>
              <w:ind w:left="567"/>
            </w:pPr>
            <w:r w:rsidRPr="008625DB">
              <w:t>Guaranteed Minimum Pension)</w:t>
            </w:r>
          </w:p>
        </w:tc>
        <w:tc>
          <w:tcPr>
            <w:tcW w:w="2223" w:type="dxa"/>
            <w:shd w:val="clear" w:color="auto" w:fill="auto"/>
            <w:vAlign w:val="center"/>
          </w:tcPr>
          <w:p w:rsidR="00EA11A6" w:rsidRPr="008625DB" w:rsidRDefault="00EA11A6" w:rsidP="003A51FC">
            <w:pPr>
              <w:pStyle w:val="TableText"/>
              <w:spacing w:before="0" w:after="0"/>
              <w:ind w:left="567"/>
            </w:pPr>
            <w:r w:rsidRPr="008625DB">
              <w:t>2.5% per annum</w:t>
            </w:r>
          </w:p>
        </w:tc>
        <w:tc>
          <w:tcPr>
            <w:tcW w:w="2565" w:type="dxa"/>
            <w:shd w:val="clear" w:color="auto" w:fill="auto"/>
            <w:vAlign w:val="center"/>
          </w:tcPr>
          <w:p w:rsidR="00EA11A6" w:rsidRPr="008625DB" w:rsidRDefault="00EA11A6" w:rsidP="003A51FC">
            <w:pPr>
              <w:pStyle w:val="TableText"/>
              <w:spacing w:before="0" w:after="0"/>
              <w:ind w:left="567"/>
            </w:pPr>
            <w:r w:rsidRPr="008625DB">
              <w:t>2.4% per annum</w:t>
            </w:r>
          </w:p>
        </w:tc>
      </w:tr>
      <w:tr w:rsidR="00EA11A6" w:rsidRPr="006B44AD" w:rsidTr="003A51FC">
        <w:tblPrEx>
          <w:tblBorders>
            <w:top w:val="none" w:sz="0" w:space="0" w:color="auto"/>
            <w:bottom w:val="none" w:sz="0" w:space="0" w:color="auto"/>
            <w:insideH w:val="none" w:sz="0" w:space="0" w:color="auto"/>
          </w:tblBorders>
          <w:tblCellMar>
            <w:left w:w="108" w:type="dxa"/>
            <w:right w:w="108" w:type="dxa"/>
          </w:tblCellMar>
          <w:tblLook w:val="04A0"/>
        </w:tblPrEx>
        <w:trPr>
          <w:trHeight w:val="300"/>
        </w:trPr>
        <w:tc>
          <w:tcPr>
            <w:tcW w:w="10505" w:type="dxa"/>
            <w:gridSpan w:val="5"/>
            <w:tcBorders>
              <w:top w:val="nil"/>
              <w:left w:val="nil"/>
              <w:bottom w:val="nil"/>
              <w:right w:val="nil"/>
            </w:tcBorders>
            <w:shd w:val="clear" w:color="auto" w:fill="auto"/>
            <w:noWrap/>
            <w:vAlign w:val="bottom"/>
            <w:hideMark/>
          </w:tcPr>
          <w:p w:rsidR="00EA11A6" w:rsidRPr="006B44AD" w:rsidRDefault="00EA11A6" w:rsidP="003A51FC">
            <w:pPr>
              <w:ind w:left="567"/>
            </w:pPr>
          </w:p>
        </w:tc>
        <w:tc>
          <w:tcPr>
            <w:tcW w:w="2268" w:type="dxa"/>
            <w:tcBorders>
              <w:top w:val="nil"/>
              <w:left w:val="nil"/>
              <w:bottom w:val="nil"/>
              <w:right w:val="nil"/>
            </w:tcBorders>
            <w:shd w:val="clear" w:color="auto" w:fill="auto"/>
            <w:noWrap/>
            <w:vAlign w:val="bottom"/>
            <w:hideMark/>
          </w:tcPr>
          <w:p w:rsidR="00EA11A6" w:rsidRPr="006B44AD" w:rsidRDefault="00EA11A6" w:rsidP="003A51FC">
            <w:pPr>
              <w:ind w:left="567"/>
              <w:jc w:val="right"/>
            </w:pPr>
          </w:p>
        </w:tc>
      </w:tr>
      <w:tr w:rsidR="00EA11A6" w:rsidRPr="006B44AD" w:rsidTr="003A51FC">
        <w:tblPrEx>
          <w:tblBorders>
            <w:top w:val="none" w:sz="0" w:space="0" w:color="auto"/>
            <w:bottom w:val="none" w:sz="0" w:space="0" w:color="auto"/>
            <w:insideH w:val="none" w:sz="0" w:space="0" w:color="auto"/>
          </w:tblBorders>
          <w:tblCellMar>
            <w:left w:w="108" w:type="dxa"/>
            <w:right w:w="108" w:type="dxa"/>
          </w:tblCellMar>
          <w:tblLook w:val="04A0"/>
        </w:tblPrEx>
        <w:trPr>
          <w:trHeight w:val="300"/>
        </w:trPr>
        <w:tc>
          <w:tcPr>
            <w:tcW w:w="10505" w:type="dxa"/>
            <w:gridSpan w:val="5"/>
            <w:tcBorders>
              <w:top w:val="nil"/>
              <w:left w:val="nil"/>
              <w:bottom w:val="nil"/>
              <w:right w:val="nil"/>
            </w:tcBorders>
            <w:shd w:val="clear" w:color="auto" w:fill="auto"/>
            <w:noWrap/>
            <w:vAlign w:val="bottom"/>
            <w:hideMark/>
          </w:tcPr>
          <w:p w:rsidR="00EA11A6" w:rsidRPr="006B44AD" w:rsidRDefault="00EA11A6" w:rsidP="003A51FC">
            <w:pPr>
              <w:pStyle w:val="Header"/>
              <w:ind w:left="474"/>
              <w:rPr>
                <w:noProof/>
              </w:rPr>
            </w:pPr>
            <w:r w:rsidRPr="008625DB">
              <w:t>The demographic assumptions are the same as those used for funding purposes other than the allowance for future improvements in life expectancy, which has been updated taking into account the latest evidence on this issue. The updated allowance underlying the 31 March 2013 calculations is in line with the projections model published in November 2009 by the Continuous Mortality Investigation (CMI) with a long-term improvement rate of 1.25% p.a. The previous allowance as at 31 March 2012 used a long-term improvement rate of 1.0% p.a.</w:t>
            </w:r>
          </w:p>
        </w:tc>
        <w:tc>
          <w:tcPr>
            <w:tcW w:w="2268" w:type="dxa"/>
            <w:tcBorders>
              <w:top w:val="nil"/>
              <w:left w:val="nil"/>
              <w:bottom w:val="nil"/>
              <w:right w:val="nil"/>
            </w:tcBorders>
            <w:shd w:val="clear" w:color="auto" w:fill="auto"/>
            <w:noWrap/>
            <w:vAlign w:val="bottom"/>
            <w:hideMark/>
          </w:tcPr>
          <w:p w:rsidR="00EA11A6" w:rsidRPr="006B44AD" w:rsidRDefault="00EA11A6" w:rsidP="003A51FC">
            <w:pPr>
              <w:ind w:left="1168"/>
              <w:jc w:val="right"/>
            </w:pPr>
          </w:p>
        </w:tc>
      </w:tr>
    </w:tbl>
    <w:p w:rsidR="00EA11A6" w:rsidRDefault="00EA11A6" w:rsidP="00EA11A6">
      <w:pPr>
        <w:pStyle w:val="ListParagraph"/>
        <w:ind w:left="862"/>
      </w:pPr>
    </w:p>
    <w:p w:rsidR="00EA11A6" w:rsidRDefault="00EA11A6" w:rsidP="00EA11A6">
      <w:pPr>
        <w:pStyle w:val="ListParagraph"/>
        <w:ind w:left="567"/>
      </w:pPr>
      <w:r w:rsidRPr="008625DB">
        <w:t>During the year, corporate bond yields reduced, resulting in a lower discount rate being used for IAS26 purposes at the year end than at the beginning of the year (4.2% p.a. versus 4.9% p.a.). The impact of this was offset slightly by the 0.1% p.a. fall in assumed inflation</w:t>
      </w:r>
      <w:r>
        <w:t>.</w:t>
      </w:r>
    </w:p>
    <w:p w:rsidR="00EA11A6" w:rsidRDefault="00EA11A6" w:rsidP="00EA11A6">
      <w:pPr>
        <w:pStyle w:val="ListParagraph"/>
        <w:ind w:left="862"/>
      </w:pPr>
    </w:p>
    <w:p w:rsidR="00EA11A6" w:rsidRDefault="00EA11A6" w:rsidP="00EA11A6">
      <w:pPr>
        <w:pStyle w:val="ListParagraph"/>
        <w:ind w:left="567"/>
      </w:pPr>
      <w:r w:rsidRPr="008625DB">
        <w:t xml:space="preserve">The value of the Fund’s promised retirement benefits for the purposes of IAS26 as at </w:t>
      </w:r>
      <w:r>
        <w:t>31 March 2012</w:t>
      </w:r>
      <w:r w:rsidRPr="008625DB">
        <w:t xml:space="preserve"> was estimated as £6,254 million.  The effect of the changes in </w:t>
      </w:r>
      <w:r>
        <w:t>actuarial</w:t>
      </w:r>
      <w:r w:rsidRPr="008625DB">
        <w:t xml:space="preserve"> assumptions between 31 March 2012 and 31 March 2013 as described above is to increase the liabilities by </w:t>
      </w:r>
      <w:r w:rsidRPr="008625DB">
        <w:rPr>
          <w:i/>
          <w:sz w:val="20"/>
        </w:rPr>
        <w:t>c</w:t>
      </w:r>
      <w:r w:rsidRPr="008625DB">
        <w:t>£8</w:t>
      </w:r>
      <w:r>
        <w:t>14</w:t>
      </w:r>
      <w:r w:rsidRPr="008625DB">
        <w:t xml:space="preserve"> million.  Adding interest over the year increases the liabilities by a further </w:t>
      </w:r>
      <w:r w:rsidRPr="008625DB">
        <w:rPr>
          <w:i/>
          <w:sz w:val="20"/>
        </w:rPr>
        <w:t>c</w:t>
      </w:r>
      <w:r w:rsidRPr="008625DB">
        <w:t xml:space="preserve">£306 million, and allowing for net benefits accrued/paid over the period decreases the liabilities by </w:t>
      </w:r>
      <w:r w:rsidRPr="008625DB">
        <w:rPr>
          <w:i/>
          <w:sz w:val="20"/>
        </w:rPr>
        <w:t>c</w:t>
      </w:r>
      <w:r w:rsidRPr="008625DB">
        <w:t>£1 million.  The net effect of all the above is that the estimated total value of the Fund’s promised retirement benefits as at 31 March 2013 is therefore £7,373 million</w:t>
      </w:r>
      <w:r>
        <w:t>.</w:t>
      </w:r>
    </w:p>
    <w:p w:rsidR="00F75A7D" w:rsidRDefault="00F75A7D" w:rsidP="00F332F8">
      <w:pPr>
        <w:spacing w:after="240"/>
        <w:ind w:left="720"/>
        <w:jc w:val="both"/>
        <w:rPr>
          <w:szCs w:val="24"/>
        </w:rPr>
      </w:pPr>
    </w:p>
    <w:p w:rsidR="001876F4" w:rsidRDefault="001876F4" w:rsidP="00F332F8">
      <w:pPr>
        <w:spacing w:after="240"/>
        <w:ind w:left="720"/>
        <w:jc w:val="both"/>
        <w:rPr>
          <w:szCs w:val="24"/>
        </w:rPr>
      </w:pPr>
    </w:p>
    <w:p w:rsidR="007E671C" w:rsidRDefault="007E671C" w:rsidP="00F332F8">
      <w:pPr>
        <w:spacing w:after="240"/>
        <w:ind w:left="720"/>
        <w:jc w:val="both"/>
        <w:rPr>
          <w:szCs w:val="24"/>
        </w:rPr>
      </w:pPr>
    </w:p>
    <w:p w:rsidR="007E671C" w:rsidRDefault="007E671C" w:rsidP="00F332F8">
      <w:pPr>
        <w:spacing w:after="240"/>
        <w:ind w:left="720"/>
        <w:jc w:val="both"/>
        <w:rPr>
          <w:szCs w:val="24"/>
        </w:rPr>
      </w:pPr>
    </w:p>
    <w:p w:rsidR="001C233D" w:rsidRDefault="001C233D" w:rsidP="00F332F8">
      <w:pPr>
        <w:spacing w:after="240"/>
        <w:ind w:left="720"/>
        <w:jc w:val="both"/>
        <w:rPr>
          <w:szCs w:val="24"/>
        </w:rPr>
      </w:pPr>
    </w:p>
    <w:p w:rsidR="001C233D" w:rsidRDefault="001C233D" w:rsidP="00F332F8">
      <w:pPr>
        <w:spacing w:after="240"/>
        <w:ind w:left="720"/>
        <w:jc w:val="both"/>
        <w:rPr>
          <w:szCs w:val="24"/>
        </w:rPr>
      </w:pPr>
    </w:p>
    <w:p w:rsidR="001C233D" w:rsidRDefault="001C233D" w:rsidP="00F332F8">
      <w:pPr>
        <w:spacing w:after="240"/>
        <w:ind w:left="720"/>
        <w:jc w:val="both"/>
        <w:rPr>
          <w:szCs w:val="24"/>
        </w:rPr>
      </w:pPr>
    </w:p>
    <w:p w:rsidR="00897DBF" w:rsidRDefault="00002C05">
      <w:pPr>
        <w:numPr>
          <w:ilvl w:val="0"/>
          <w:numId w:val="52"/>
        </w:numPr>
      </w:pPr>
      <w:r w:rsidRPr="00971F5F">
        <w:rPr>
          <w:b/>
          <w:snapToGrid w:val="0"/>
          <w:sz w:val="28"/>
          <w:lang w:eastAsia="en-US"/>
        </w:rPr>
        <w:t>Actuarial Valuation</w:t>
      </w:r>
      <w:r w:rsidRPr="00971F5F">
        <w:t xml:space="preserve"> </w:t>
      </w:r>
    </w:p>
    <w:p w:rsidR="00A222AD" w:rsidRPr="00971F5F" w:rsidRDefault="006B1017" w:rsidP="00CF19B0">
      <w:pPr>
        <w:spacing w:before="120"/>
        <w:jc w:val="both"/>
      </w:pPr>
      <w:r w:rsidRPr="00971F5F">
        <w:t xml:space="preserve">An actuarial valuation of the Fund is carried out every three years by the Fund’s </w:t>
      </w:r>
      <w:r w:rsidR="004B2E87" w:rsidRPr="00971F5F">
        <w:t>a</w:t>
      </w:r>
      <w:r w:rsidRPr="00971F5F">
        <w:t>ctuary Mercer.  The most recent valuation carried out was at 31 March 20</w:t>
      </w:r>
      <w:r w:rsidR="00E06FC6" w:rsidRPr="00971F5F">
        <w:t>10</w:t>
      </w:r>
      <w:r w:rsidRPr="00971F5F">
        <w:t xml:space="preserve"> which determines contribution rates effective from 1 April 20</w:t>
      </w:r>
      <w:r w:rsidR="00E06FC6" w:rsidRPr="00971F5F">
        <w:t>11</w:t>
      </w:r>
      <w:r w:rsidRPr="00971F5F">
        <w:t xml:space="preserve"> to 31 March 201</w:t>
      </w:r>
      <w:r w:rsidR="00E06FC6" w:rsidRPr="00971F5F">
        <w:t>4</w:t>
      </w:r>
      <w:r w:rsidRPr="00971F5F">
        <w:t xml:space="preserve">.  </w:t>
      </w:r>
    </w:p>
    <w:p w:rsidR="006B1017" w:rsidRPr="00971F5F" w:rsidRDefault="006B1017" w:rsidP="00CF19B0">
      <w:pPr>
        <w:spacing w:before="120"/>
        <w:jc w:val="both"/>
      </w:pPr>
      <w:r w:rsidRPr="00971F5F">
        <w:t xml:space="preserve">The Funding objective is to achieve and then maintain assets equal to the </w:t>
      </w:r>
      <w:r w:rsidR="001D14A9">
        <w:t>F</w:t>
      </w:r>
      <w:r w:rsidRPr="00971F5F">
        <w:t xml:space="preserve">unding </w:t>
      </w:r>
      <w:r w:rsidR="001D14A9">
        <w:t>T</w:t>
      </w:r>
      <w:r w:rsidRPr="00971F5F">
        <w:t xml:space="preserve">arget.  The Funding </w:t>
      </w:r>
      <w:r w:rsidR="001D14A9">
        <w:t>T</w:t>
      </w:r>
      <w:r w:rsidRPr="00971F5F">
        <w:t>arget is the present value of 100% of projective accrued liabilities, including allowance for projected final pay.  This is to comply with the requirement</w:t>
      </w:r>
      <w:r w:rsidR="00626516" w:rsidRPr="00971F5F">
        <w:t>s</w:t>
      </w:r>
      <w:r w:rsidRPr="00971F5F">
        <w:t xml:space="preserve"> of the LGPS regulations to secure the solvency of the Fund and is </w:t>
      </w:r>
      <w:r w:rsidR="001D14A9">
        <w:t xml:space="preserve">in </w:t>
      </w:r>
      <w:r w:rsidRPr="00971F5F">
        <w:t xml:space="preserve">accordance with the </w:t>
      </w:r>
      <w:r w:rsidR="00626516" w:rsidRPr="00971F5F">
        <w:t>Funding Strategy Statement</w:t>
      </w:r>
      <w:r w:rsidR="005F5DB3" w:rsidRPr="00971F5F">
        <w:t>.</w:t>
      </w:r>
      <w:r w:rsidR="00611208" w:rsidRPr="00971F5F">
        <w:t xml:space="preserve"> </w:t>
      </w:r>
      <w:r w:rsidR="00626516" w:rsidRPr="00971F5F">
        <w:t xml:space="preserve"> The methodology and assumptions by which the Funding </w:t>
      </w:r>
      <w:r w:rsidR="001D14A9">
        <w:t>T</w:t>
      </w:r>
      <w:r w:rsidR="00626516" w:rsidRPr="00971F5F">
        <w:t>argets and contribution rates are calculated have also been determined in accordance with the Funding Strategy Statement.</w:t>
      </w:r>
    </w:p>
    <w:p w:rsidR="00626516" w:rsidRPr="00971F5F" w:rsidRDefault="00626516" w:rsidP="00CF19B0">
      <w:pPr>
        <w:spacing w:before="120"/>
        <w:jc w:val="both"/>
      </w:pPr>
      <w:r w:rsidRPr="00971F5F">
        <w:t xml:space="preserve">The Funding Strategy Statement specifies a maximum period for achieving full funding of </w:t>
      </w:r>
      <w:r w:rsidR="00091001" w:rsidRPr="00971F5F">
        <w:t>19</w:t>
      </w:r>
      <w:r w:rsidRPr="00971F5F">
        <w:t xml:space="preserve"> years</w:t>
      </w:r>
      <w:r w:rsidR="00091001" w:rsidRPr="00971F5F">
        <w:t xml:space="preserve">, this compares to a maximum period of 22 years adopted at the 2007 valuation in accordance with the then published FSS.  The maximum deficit recovery period is now three years shorter so that the same target date for achieving full funding is being maintained as at the 2007 valuation. </w:t>
      </w:r>
      <w:r w:rsidRPr="00971F5F">
        <w:t xml:space="preserve"> </w:t>
      </w:r>
      <w:r w:rsidR="00091001" w:rsidRPr="00971F5F">
        <w:t>The FSS also</w:t>
      </w:r>
      <w:r w:rsidRPr="00971F5F">
        <w:t xml:space="preserve"> specifies any transitional arrangements (</w:t>
      </w:r>
      <w:r w:rsidR="00091001" w:rsidRPr="00971F5F">
        <w:t>"</w:t>
      </w:r>
      <w:r w:rsidRPr="00971F5F">
        <w:t>phasing</w:t>
      </w:r>
      <w:r w:rsidR="00091001" w:rsidRPr="00971F5F">
        <w:t>"</w:t>
      </w:r>
      <w:r w:rsidRPr="00971F5F">
        <w:t>) for the implementation of revised employer contribution requirements.</w:t>
      </w:r>
    </w:p>
    <w:p w:rsidR="00897DBF" w:rsidRDefault="00626516">
      <w:pPr>
        <w:tabs>
          <w:tab w:val="left" w:pos="10233"/>
        </w:tabs>
        <w:spacing w:before="120"/>
        <w:jc w:val="both"/>
      </w:pPr>
      <w:r w:rsidRPr="00971F5F">
        <w:t>The valuation (effective from 1 April 20</w:t>
      </w:r>
      <w:r w:rsidR="00156197" w:rsidRPr="00971F5F">
        <w:t>11</w:t>
      </w:r>
      <w:r w:rsidRPr="00971F5F">
        <w:t>) revealed a funding level of 8</w:t>
      </w:r>
      <w:r w:rsidR="00156197" w:rsidRPr="00971F5F">
        <w:t>0</w:t>
      </w:r>
      <w:r w:rsidRPr="00971F5F">
        <w:t xml:space="preserve">% and an average employer’s contribution rate of </w:t>
      </w:r>
      <w:r w:rsidR="00091001" w:rsidRPr="00971F5F">
        <w:t>1</w:t>
      </w:r>
      <w:r w:rsidR="00156197" w:rsidRPr="00971F5F">
        <w:t>9</w:t>
      </w:r>
      <w:r w:rsidR="00091001" w:rsidRPr="00971F5F">
        <w:t>.</w:t>
      </w:r>
      <w:r w:rsidR="00156197" w:rsidRPr="00971F5F">
        <w:t>1</w:t>
      </w:r>
      <w:r w:rsidRPr="00971F5F">
        <w:t xml:space="preserve">%.  </w:t>
      </w:r>
      <w:r w:rsidR="001F5E41" w:rsidRPr="00971F5F">
        <w:t>There have been a number of material developments which have impacted on the fund since the previous valuation</w:t>
      </w:r>
      <w:r w:rsidR="00EB6A5D" w:rsidRPr="00971F5F">
        <w:t xml:space="preserve"> in 2007</w:t>
      </w:r>
      <w:r w:rsidR="001F5E41" w:rsidRPr="00971F5F">
        <w:t>.  The introduction</w:t>
      </w:r>
      <w:r w:rsidR="00EB6A5D" w:rsidRPr="00971F5F">
        <w:t xml:space="preserve"> of an Inflation Risk Premium (IRP) into the determination of the pension increase assumption used for the </w:t>
      </w:r>
      <w:r w:rsidR="00A63817" w:rsidRPr="00971F5F">
        <w:t>valuation</w:t>
      </w:r>
      <w:r w:rsidR="00EB6A5D" w:rsidRPr="00971F5F">
        <w:t xml:space="preserve"> has offset the adverse impact of the fall in real yields since the </w:t>
      </w:r>
      <w:r w:rsidR="00BB3305" w:rsidRPr="00971F5F">
        <w:t>2007</w:t>
      </w:r>
      <w:r w:rsidR="00EB6A5D" w:rsidRPr="00971F5F">
        <w:t xml:space="preserve"> valuation.  The effect of the IRP in conjunction with the change from RPI to CPI indexation more than offsets the negative impact of the yields change.  Revisions of the assumptions adopted for the 2010 valuation has overall acted</w:t>
      </w:r>
      <w:r w:rsidR="000A48AF" w:rsidRPr="00971F5F">
        <w:t xml:space="preserve"> to place a lower value on liabilities and has therefore improved the funding position.</w:t>
      </w:r>
    </w:p>
    <w:p w:rsidR="00626516" w:rsidRDefault="001F5E41" w:rsidP="00CF19B0">
      <w:pPr>
        <w:spacing w:before="120"/>
        <w:jc w:val="both"/>
      </w:pPr>
      <w:r w:rsidRPr="00971F5F">
        <w:t>A</w:t>
      </w:r>
      <w:r w:rsidR="004E10D7" w:rsidRPr="00971F5F">
        <w:t xml:space="preserve">n extract from the </w:t>
      </w:r>
      <w:r w:rsidR="00781D1C" w:rsidRPr="00971F5F">
        <w:t xml:space="preserve">certified </w:t>
      </w:r>
      <w:r w:rsidR="004E10D7" w:rsidRPr="00971F5F">
        <w:t>Actuarial Valuation</w:t>
      </w:r>
      <w:r w:rsidR="00781D1C" w:rsidRPr="00971F5F">
        <w:t xml:space="preserve"> produced by Mercer as at 31 March 20</w:t>
      </w:r>
      <w:r w:rsidR="000A48AF" w:rsidRPr="00971F5F">
        <w:t>10</w:t>
      </w:r>
      <w:r w:rsidR="00781D1C" w:rsidRPr="00971F5F">
        <w:t>,</w:t>
      </w:r>
      <w:r w:rsidR="004E10D7" w:rsidRPr="00971F5F">
        <w:t xml:space="preserve"> detailing the breakdown of the 8</w:t>
      </w:r>
      <w:r w:rsidR="000A48AF" w:rsidRPr="00971F5F">
        <w:t>0</w:t>
      </w:r>
      <w:r w:rsidR="004E10D7" w:rsidRPr="00971F5F">
        <w:t xml:space="preserve">% funding </w:t>
      </w:r>
      <w:r w:rsidR="00781D1C" w:rsidRPr="00971F5F">
        <w:t>level</w:t>
      </w:r>
      <w:r w:rsidR="004E10D7" w:rsidRPr="00971F5F">
        <w:t xml:space="preserve"> is as follows:</w:t>
      </w:r>
    </w:p>
    <w:p w:rsidR="00B54720" w:rsidRPr="00971F5F" w:rsidRDefault="00B54720" w:rsidP="00AE240A">
      <w:pPr>
        <w:pStyle w:val="Heading1"/>
      </w:pPr>
      <w:bookmarkStart w:id="1" w:name="_Toc288418495"/>
      <w:r w:rsidRPr="00971F5F">
        <w:rPr>
          <w:color w:val="0057A6"/>
        </w:rPr>
        <w:t xml:space="preserve">Funding results – </w:t>
      </w:r>
      <w:r w:rsidR="001D14A9">
        <w:rPr>
          <w:color w:val="0057A6"/>
        </w:rPr>
        <w:t>F</w:t>
      </w:r>
      <w:r w:rsidRPr="00971F5F">
        <w:rPr>
          <w:color w:val="0057A6"/>
        </w:rPr>
        <w:t xml:space="preserve">unding </w:t>
      </w:r>
      <w:r w:rsidR="001D14A9">
        <w:rPr>
          <w:color w:val="0057A6"/>
        </w:rPr>
        <w:t>T</w:t>
      </w:r>
      <w:r w:rsidRPr="00971F5F">
        <w:rPr>
          <w:color w:val="0057A6"/>
        </w:rPr>
        <w:t>arget</w:t>
      </w:r>
      <w:bookmarkEnd w:id="1"/>
    </w:p>
    <w:p w:rsidR="004126C0" w:rsidRPr="009A3AFE" w:rsidRDefault="001C31F0" w:rsidP="009D1E6A">
      <w:pPr>
        <w:pStyle w:val="OutlineNum2"/>
        <w:numPr>
          <w:ilvl w:val="0"/>
          <w:numId w:val="0"/>
        </w:numPr>
        <w:rPr>
          <w:highlight w:val="yellow"/>
        </w:rPr>
      </w:pPr>
      <w:r w:rsidRPr="001C31F0">
        <w:rPr>
          <w:noProof/>
          <w:highlight w:val="yellow"/>
        </w:rPr>
        <w:pict>
          <v:shape id="_x0000_s1393" type="#_x0000_t202" style="position:absolute;margin-left:88.7pt;margin-top:167.35pt;width:102.75pt;height:21.75pt;z-index:251670528;mso-position-horizontal-relative:text;mso-position-vertical-relative:text" filled="f" stroked="f">
            <v:textbox style="mso-next-textbox:#_x0000_s1393">
              <w:txbxContent>
                <w:p w:rsidR="00897DBF" w:rsidRPr="003F3C6A" w:rsidRDefault="00897DBF" w:rsidP="004126C0">
                  <w:pPr>
                    <w:jc w:val="center"/>
                    <w:rPr>
                      <w:rFonts w:cs="Arial"/>
                      <w:b/>
                      <w:sz w:val="18"/>
                      <w:szCs w:val="18"/>
                    </w:rPr>
                  </w:pPr>
                  <w:r>
                    <w:rPr>
                      <w:rFonts w:cs="Arial"/>
                      <w:b/>
                      <w:sz w:val="18"/>
                      <w:szCs w:val="18"/>
                    </w:rPr>
                    <w:t>31 March</w:t>
                  </w:r>
                  <w:r w:rsidRPr="003F3C6A">
                    <w:rPr>
                      <w:rFonts w:cs="Arial"/>
                      <w:b/>
                      <w:sz w:val="18"/>
                      <w:szCs w:val="18"/>
                    </w:rPr>
                    <w:t xml:space="preserve"> 20</w:t>
                  </w:r>
                  <w:r>
                    <w:rPr>
                      <w:rFonts w:cs="Arial"/>
                      <w:b/>
                      <w:sz w:val="18"/>
                      <w:szCs w:val="18"/>
                    </w:rPr>
                    <w:t>10</w:t>
                  </w:r>
                </w:p>
              </w:txbxContent>
            </v:textbox>
          </v:shape>
        </w:pict>
      </w:r>
      <w:r w:rsidRPr="001C31F0">
        <w:rPr>
          <w:noProof/>
          <w:highlight w:val="yellow"/>
        </w:rPr>
        <w:pict>
          <v:shape id="_x0000_s1394" type="#_x0000_t202" style="position:absolute;margin-left:233.8pt;margin-top:167.35pt;width:122.65pt;height:17.25pt;z-index:251671552;mso-position-horizontal-relative:text;mso-position-vertical-relative:text" o:allowincell="f" filled="f" stroked="f">
            <v:textbox style="mso-next-textbox:#_x0000_s1394">
              <w:txbxContent>
                <w:p w:rsidR="00897DBF" w:rsidRPr="00B2401A" w:rsidRDefault="00897DBF" w:rsidP="004126C0">
                  <w:pPr>
                    <w:jc w:val="center"/>
                    <w:rPr>
                      <w:rFonts w:cs="Arial"/>
                      <w:b/>
                      <w:sz w:val="18"/>
                      <w:szCs w:val="18"/>
                    </w:rPr>
                  </w:pPr>
                  <w:r>
                    <w:rPr>
                      <w:rFonts w:cs="Arial"/>
                      <w:b/>
                      <w:sz w:val="18"/>
                      <w:szCs w:val="18"/>
                    </w:rPr>
                    <w:t>31 March 2007</w:t>
                  </w:r>
                </w:p>
              </w:txbxContent>
            </v:textbox>
          </v:shape>
        </w:pict>
      </w:r>
      <w:r w:rsidRPr="001C31F0">
        <w:rPr>
          <w:noProof/>
          <w:sz w:val="24"/>
          <w:szCs w:val="24"/>
        </w:rPr>
        <w:pict>
          <v:shape id="_x0000_s1386" type="#_x0000_t202" style="position:absolute;margin-left:282.1pt;margin-top:49.25pt;width:67.6pt;height:27pt;z-index:251667456" filled="f" stroked="f">
            <v:textbox style="mso-next-textbox:#_x0000_s1386">
              <w:txbxContent>
                <w:p w:rsidR="00897DBF" w:rsidRDefault="00897DBF" w:rsidP="004126C0">
                  <w:pPr>
                    <w:jc w:val="center"/>
                    <w:rPr>
                      <w:rFonts w:cs="Arial"/>
                      <w:b/>
                      <w:sz w:val="18"/>
                      <w:szCs w:val="18"/>
                    </w:rPr>
                  </w:pPr>
                  <w:r>
                    <w:rPr>
                      <w:rFonts w:cs="Arial"/>
                      <w:b/>
                      <w:sz w:val="18"/>
                      <w:szCs w:val="18"/>
                    </w:rPr>
                    <w:t>Total</w:t>
                  </w:r>
                </w:p>
                <w:p w:rsidR="00897DBF" w:rsidRPr="00A142C4" w:rsidRDefault="00897DBF" w:rsidP="004126C0">
                  <w:pPr>
                    <w:jc w:val="center"/>
                    <w:rPr>
                      <w:rFonts w:cs="Arial"/>
                      <w:b/>
                      <w:sz w:val="18"/>
                      <w:szCs w:val="18"/>
                    </w:rPr>
                  </w:pPr>
                  <w:r>
                    <w:rPr>
                      <w:rFonts w:cs="Arial"/>
                      <w:b/>
                      <w:sz w:val="18"/>
                      <w:szCs w:val="18"/>
                    </w:rPr>
                    <w:t>£4,399m</w:t>
                  </w:r>
                </w:p>
              </w:txbxContent>
            </v:textbox>
          </v:shape>
        </w:pict>
      </w:r>
      <w:r w:rsidRPr="001C31F0">
        <w:rPr>
          <w:noProof/>
          <w:sz w:val="24"/>
          <w:szCs w:val="24"/>
        </w:rPr>
        <w:pict>
          <v:shape id="_x0000_s1385" type="#_x0000_t202" style="position:absolute;margin-left:157.3pt;margin-top:49.25pt;width:62.4pt;height:27pt;z-index:251666432" filled="f" stroked="f">
            <v:textbox style="mso-next-textbox:#_x0000_s1385">
              <w:txbxContent>
                <w:p w:rsidR="00897DBF" w:rsidRDefault="00897DBF" w:rsidP="004126C0">
                  <w:pPr>
                    <w:jc w:val="center"/>
                    <w:rPr>
                      <w:rFonts w:cs="Arial"/>
                      <w:b/>
                      <w:sz w:val="18"/>
                      <w:szCs w:val="18"/>
                    </w:rPr>
                  </w:pPr>
                  <w:r>
                    <w:rPr>
                      <w:rFonts w:cs="Arial"/>
                      <w:b/>
                      <w:sz w:val="18"/>
                      <w:szCs w:val="18"/>
                    </w:rPr>
                    <w:t>Total</w:t>
                  </w:r>
                </w:p>
                <w:p w:rsidR="00897DBF" w:rsidRPr="00A142C4" w:rsidRDefault="00897DBF" w:rsidP="004126C0">
                  <w:pPr>
                    <w:jc w:val="center"/>
                    <w:rPr>
                      <w:rFonts w:cs="Arial"/>
                      <w:b/>
                      <w:sz w:val="18"/>
                      <w:szCs w:val="18"/>
                    </w:rPr>
                  </w:pPr>
                  <w:r>
                    <w:rPr>
                      <w:rFonts w:cs="Arial"/>
                      <w:b/>
                      <w:sz w:val="18"/>
                      <w:szCs w:val="18"/>
                    </w:rPr>
                    <w:t>£4,955m</w:t>
                  </w:r>
                </w:p>
              </w:txbxContent>
            </v:textbox>
          </v:shape>
        </w:pict>
      </w:r>
      <w:r w:rsidR="004126C0" w:rsidRPr="00971F5F">
        <w:rPr>
          <w:sz w:val="24"/>
          <w:szCs w:val="24"/>
        </w:rPr>
        <w:t xml:space="preserve">The market value of the Fund’s assets at the valuation date is compared with the value of the Fund’s past service liabilities (the </w:t>
      </w:r>
      <w:r w:rsidR="001D14A9">
        <w:rPr>
          <w:sz w:val="24"/>
          <w:szCs w:val="24"/>
        </w:rPr>
        <w:t>F</w:t>
      </w:r>
      <w:r w:rsidR="004126C0" w:rsidRPr="00971F5F">
        <w:rPr>
          <w:sz w:val="24"/>
          <w:szCs w:val="24"/>
        </w:rPr>
        <w:t xml:space="preserve">unding </w:t>
      </w:r>
      <w:r w:rsidR="001D14A9">
        <w:rPr>
          <w:sz w:val="24"/>
          <w:szCs w:val="24"/>
        </w:rPr>
        <w:t>T</w:t>
      </w:r>
      <w:r w:rsidR="004126C0" w:rsidRPr="00971F5F">
        <w:rPr>
          <w:sz w:val="24"/>
          <w:szCs w:val="24"/>
        </w:rPr>
        <w:t xml:space="preserve">arget) below.  The funding position at the previous valuation is shown for comparison. </w:t>
      </w:r>
      <w:r w:rsidRPr="001C31F0">
        <w:rPr>
          <w:noProof/>
          <w:highlight w:val="yellow"/>
        </w:rPr>
        <w:pict>
          <v:group id="_x0000_s1390" style="position:absolute;margin-left:263.3pt;margin-top:82.2pt;width:63pt;height:27pt;z-index:251669504;mso-position-horizontal-relative:text;mso-position-vertical-relative:text" coordorigin="7547,8947" coordsize="1260,540">
            <v:shape id="_x0000_s1391" type="#_x0000_t202" style="position:absolute;left:7547;top:8947;width:1260;height:540" o:allowincell="f" filled="f" stroked="f">
              <v:textbox style="mso-next-textbox:#_x0000_s1391">
                <w:txbxContent>
                  <w:p w:rsidR="00897DBF" w:rsidRPr="00580A93" w:rsidRDefault="00897DBF" w:rsidP="004126C0">
                    <w:pPr>
                      <w:rPr>
                        <w:rFonts w:cs="Arial"/>
                        <w:b/>
                        <w:sz w:val="18"/>
                        <w:szCs w:val="18"/>
                      </w:rPr>
                    </w:pPr>
                    <w:r>
                      <w:rPr>
                        <w:rFonts w:cs="Arial"/>
                        <w:b/>
                        <w:sz w:val="18"/>
                        <w:szCs w:val="18"/>
                      </w:rPr>
                      <w:t xml:space="preserve">   84</w:t>
                    </w:r>
                    <w:r w:rsidRPr="00580A93">
                      <w:rPr>
                        <w:rFonts w:cs="Arial"/>
                        <w:b/>
                        <w:sz w:val="18"/>
                        <w:szCs w:val="18"/>
                      </w:rPr>
                      <w:t>%</w:t>
                    </w:r>
                  </w:p>
                  <w:p w:rsidR="00897DBF" w:rsidRPr="00580A93" w:rsidRDefault="00897DBF" w:rsidP="004126C0">
                    <w:pPr>
                      <w:rPr>
                        <w:rFonts w:cs="Arial"/>
                        <w:b/>
                        <w:sz w:val="18"/>
                        <w:szCs w:val="18"/>
                      </w:rPr>
                    </w:pPr>
                  </w:p>
                </w:txbxContent>
              </v:textbox>
            </v:shape>
            <v:line id="_x0000_s1392" style="position:absolute" from="7730,9344" to="8270,9344" o:allowincell="f" strokeweight="2.25pt">
              <v:stroke endarrow="block"/>
            </v:line>
          </v:group>
        </w:pict>
      </w:r>
      <w:r w:rsidRPr="001C31F0">
        <w:rPr>
          <w:noProof/>
          <w:highlight w:val="yellow"/>
        </w:rPr>
        <w:pict>
          <v:group id="_x0000_s1387" style="position:absolute;margin-left:137.2pt;margin-top:80.3pt;width:63pt;height:27pt;z-index:251668480;mso-position-horizontal-relative:text;mso-position-vertical-relative:text" coordorigin="4428,8947" coordsize="1260,540">
            <v:shape id="_x0000_s1388" type="#_x0000_t202" style="position:absolute;left:4428;top:8947;width:1260;height:540" o:allowincell="f" filled="f" stroked="f">
              <v:textbox style="mso-next-textbox:#_x0000_s1388">
                <w:txbxContent>
                  <w:p w:rsidR="00897DBF" w:rsidRPr="00580A93" w:rsidRDefault="00897DBF" w:rsidP="004126C0">
                    <w:pPr>
                      <w:rPr>
                        <w:rFonts w:cs="Arial"/>
                        <w:b/>
                        <w:sz w:val="18"/>
                        <w:szCs w:val="18"/>
                      </w:rPr>
                    </w:pPr>
                    <w:r>
                      <w:rPr>
                        <w:rFonts w:cs="Arial"/>
                        <w:b/>
                        <w:sz w:val="18"/>
                        <w:szCs w:val="18"/>
                      </w:rPr>
                      <w:t xml:space="preserve">   80</w:t>
                    </w:r>
                    <w:r w:rsidRPr="00580A93">
                      <w:rPr>
                        <w:rFonts w:cs="Arial"/>
                        <w:b/>
                        <w:sz w:val="18"/>
                        <w:szCs w:val="18"/>
                      </w:rPr>
                      <w:t>%</w:t>
                    </w:r>
                  </w:p>
                  <w:p w:rsidR="00897DBF" w:rsidRPr="00580A93" w:rsidRDefault="00897DBF" w:rsidP="004126C0">
                    <w:pPr>
                      <w:rPr>
                        <w:rFonts w:cs="Arial"/>
                        <w:b/>
                        <w:sz w:val="18"/>
                        <w:szCs w:val="18"/>
                      </w:rPr>
                    </w:pPr>
                  </w:p>
                </w:txbxContent>
              </v:textbox>
            </v:shape>
            <v:line id="_x0000_s1389" style="position:absolute" from="4598,9346" to="5138,9346" o:allowincell="f" strokeweight="2.25pt">
              <v:stroke endarrow="block"/>
            </v:line>
          </v:group>
        </w:pict>
      </w:r>
      <w:r w:rsidR="00897DBF">
        <w:rPr>
          <w:noProof/>
        </w:rPr>
        <w:drawing>
          <wp:inline distT="0" distB="0" distL="0" distR="0">
            <wp:extent cx="6172200" cy="2457450"/>
            <wp:effectExtent l="19050" t="0" r="1905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10D7" w:rsidRPr="009A3AFE" w:rsidRDefault="004E10D7" w:rsidP="00CF19B0">
      <w:pPr>
        <w:spacing w:before="120"/>
        <w:jc w:val="both"/>
        <w:rPr>
          <w:highlight w:val="yellow"/>
        </w:rPr>
      </w:pPr>
    </w:p>
    <w:p w:rsidR="00626516" w:rsidRPr="005514E7" w:rsidRDefault="00BB3305" w:rsidP="00CF19B0">
      <w:pPr>
        <w:spacing w:before="120"/>
        <w:jc w:val="both"/>
      </w:pPr>
      <w:r w:rsidRPr="005514E7">
        <w:t>The employer contributions for 201</w:t>
      </w:r>
      <w:r w:rsidR="00971F5F" w:rsidRPr="005514E7">
        <w:t>1</w:t>
      </w:r>
      <w:r w:rsidRPr="005514E7">
        <w:t>/201</w:t>
      </w:r>
      <w:r w:rsidR="00971F5F" w:rsidRPr="005514E7">
        <w:t>2</w:t>
      </w:r>
      <w:r w:rsidRPr="005514E7">
        <w:t xml:space="preserve"> are based on the 20</w:t>
      </w:r>
      <w:r w:rsidR="00971F5F" w:rsidRPr="005514E7">
        <w:t>10</w:t>
      </w:r>
      <w:r w:rsidRPr="005514E7">
        <w:t xml:space="preserve"> valuation and t</w:t>
      </w:r>
      <w:r w:rsidR="00626516" w:rsidRPr="005514E7">
        <w:t>he recommended employer contribution</w:t>
      </w:r>
      <w:r w:rsidRPr="005514E7">
        <w:t>s</w:t>
      </w:r>
      <w:r w:rsidR="00626516" w:rsidRPr="005514E7">
        <w:t xml:space="preserve"> for the period 1 April 20</w:t>
      </w:r>
      <w:r w:rsidR="00971F5F" w:rsidRPr="005514E7">
        <w:t>11</w:t>
      </w:r>
      <w:r w:rsidR="00626516" w:rsidRPr="005514E7">
        <w:t xml:space="preserve"> to 31 March 20</w:t>
      </w:r>
      <w:r w:rsidR="00392E61" w:rsidRPr="005514E7">
        <w:t>1</w:t>
      </w:r>
      <w:r w:rsidR="00D319B8" w:rsidRPr="005514E7">
        <w:t>4</w:t>
      </w:r>
      <w:r w:rsidR="00626516" w:rsidRPr="005514E7">
        <w:t xml:space="preserve"> are set out in the Schedu</w:t>
      </w:r>
      <w:r w:rsidR="004E10D7" w:rsidRPr="005514E7">
        <w:t xml:space="preserve">le to the Rates and Adjustments at </w:t>
      </w:r>
      <w:r w:rsidR="00E80588" w:rsidRPr="00E80588">
        <w:t>page 5</w:t>
      </w:r>
      <w:r w:rsidR="008750D1" w:rsidRPr="008750D1">
        <w:t>9</w:t>
      </w:r>
      <w:r w:rsidR="008750D1" w:rsidRPr="005514E7">
        <w:t xml:space="preserve"> </w:t>
      </w:r>
      <w:r w:rsidR="004E10D7" w:rsidRPr="005514E7">
        <w:t xml:space="preserve">of this report. </w:t>
      </w:r>
    </w:p>
    <w:p w:rsidR="008321D2" w:rsidRPr="005514E7" w:rsidRDefault="00626516" w:rsidP="00CF19B0">
      <w:pPr>
        <w:spacing w:before="120"/>
        <w:jc w:val="both"/>
      </w:pPr>
      <w:r w:rsidRPr="005514E7">
        <w:t xml:space="preserve">The projected unit method of valuation was used for the valuation and is in common use for funding </w:t>
      </w:r>
      <w:r w:rsidR="004E10D7" w:rsidRPr="005514E7">
        <w:t>P</w:t>
      </w:r>
      <w:r w:rsidRPr="005514E7">
        <w:t xml:space="preserve">ension </w:t>
      </w:r>
      <w:r w:rsidR="004E10D7" w:rsidRPr="005514E7">
        <w:t>F</w:t>
      </w:r>
      <w:r w:rsidRPr="005514E7">
        <w:t>unds in the United Kingdom.</w:t>
      </w:r>
      <w:r w:rsidR="008756A8" w:rsidRPr="005514E7">
        <w:t xml:space="preserve"> </w:t>
      </w:r>
      <w:r w:rsidR="00462AA2" w:rsidRPr="005514E7">
        <w:t xml:space="preserve"> </w:t>
      </w:r>
      <w:r w:rsidRPr="005514E7">
        <w:t xml:space="preserve">The Valuation results depend on financial and </w:t>
      </w:r>
      <w:r w:rsidR="00781D1C" w:rsidRPr="005514E7">
        <w:t>demo</w:t>
      </w:r>
      <w:r w:rsidRPr="005514E7">
        <w:t xml:space="preserve">graphic assumptions </w:t>
      </w:r>
      <w:r w:rsidR="004E10D7" w:rsidRPr="005514E7">
        <w:t>an</w:t>
      </w:r>
      <w:r w:rsidRPr="005514E7">
        <w:t xml:space="preserve">d these are detailed in </w:t>
      </w:r>
      <w:r w:rsidR="004E10D7" w:rsidRPr="005514E7">
        <w:t xml:space="preserve">full in the Actuarial Valuation and at Annex 1 of the Funding Strategy </w:t>
      </w:r>
      <w:r w:rsidR="00781D1C" w:rsidRPr="005514E7">
        <w:t>S</w:t>
      </w:r>
      <w:r w:rsidR="008321D2" w:rsidRPr="005514E7">
        <w:t>tatement</w:t>
      </w:r>
      <w:r w:rsidR="00962A6A" w:rsidRPr="005514E7">
        <w:t>.</w:t>
      </w:r>
      <w:r w:rsidR="008321D2" w:rsidRPr="005514E7">
        <w:t xml:space="preserve"> </w:t>
      </w:r>
    </w:p>
    <w:p w:rsidR="00962A6A" w:rsidRPr="009A3AFE" w:rsidRDefault="00962A6A" w:rsidP="00CF19B0">
      <w:pPr>
        <w:spacing w:before="120"/>
        <w:jc w:val="both"/>
        <w:rPr>
          <w:highlight w:val="yellow"/>
        </w:rPr>
      </w:pPr>
    </w:p>
    <w:p w:rsidR="0086294C" w:rsidRPr="008750D1" w:rsidRDefault="00E80588" w:rsidP="00CF19B0">
      <w:pPr>
        <w:spacing w:before="120"/>
        <w:jc w:val="both"/>
        <w:rPr>
          <w:b/>
        </w:rPr>
      </w:pPr>
      <w:r w:rsidRPr="00E80588">
        <w:rPr>
          <w:b/>
        </w:rPr>
        <w:t>The Rates and adjustments certified and accompanying schedule extracted from the actuarial valuation are as follows:</w:t>
      </w:r>
    </w:p>
    <w:p w:rsidR="005514E7" w:rsidRDefault="005514E7" w:rsidP="005514E7"/>
    <w:p w:rsidR="005514E7" w:rsidRDefault="005514E7" w:rsidP="005514E7"/>
    <w:p w:rsidR="005514E7" w:rsidRPr="005514E7" w:rsidRDefault="005514E7" w:rsidP="005514E7">
      <w:pPr>
        <w:pStyle w:val="AppendixHeading"/>
        <w:rPr>
          <w:color w:val="0057A6"/>
          <w:sz w:val="20"/>
        </w:rPr>
      </w:pPr>
      <w:bookmarkStart w:id="2" w:name="_Toc288039110"/>
      <w:bookmarkStart w:id="3" w:name="_Toc289350713"/>
      <w:r w:rsidRPr="005514E7">
        <w:rPr>
          <w:color w:val="0057A6"/>
          <w:sz w:val="20"/>
        </w:rPr>
        <w:t>Rates and Adjustments Certificate issued in accordance with Regulation 36 of the Administration Regulations</w:t>
      </w:r>
      <w:bookmarkEnd w:id="2"/>
      <w:bookmarkEnd w:id="3"/>
    </w:p>
    <w:tbl>
      <w:tblPr>
        <w:tblW w:w="0" w:type="auto"/>
        <w:tblLayout w:type="fixed"/>
        <w:tblCellMar>
          <w:left w:w="107" w:type="dxa"/>
          <w:right w:w="107" w:type="dxa"/>
        </w:tblCellMar>
        <w:tblLook w:val="0000"/>
      </w:tblPr>
      <w:tblGrid>
        <w:gridCol w:w="2987"/>
        <w:gridCol w:w="5850"/>
      </w:tblGrid>
      <w:tr w:rsidR="005514E7" w:rsidRPr="005514E7" w:rsidTr="005514E7">
        <w:trPr>
          <w:trHeight w:hRule="exact" w:val="706"/>
        </w:trPr>
        <w:tc>
          <w:tcPr>
            <w:tcW w:w="2987" w:type="dxa"/>
            <w:vAlign w:val="center"/>
          </w:tcPr>
          <w:p w:rsidR="005514E7" w:rsidRPr="005514E7" w:rsidRDefault="005514E7" w:rsidP="005514E7">
            <w:pPr>
              <w:pStyle w:val="NormalSingle"/>
              <w:spacing w:before="40" w:after="40"/>
              <w:rPr>
                <w:b/>
                <w:sz w:val="20"/>
              </w:rPr>
            </w:pPr>
            <w:r w:rsidRPr="005514E7">
              <w:rPr>
                <w:b/>
                <w:sz w:val="2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5514E7" w:rsidRPr="005514E7" w:rsidRDefault="005514E7" w:rsidP="005514E7">
            <w:pPr>
              <w:pStyle w:val="NormalSingle"/>
              <w:spacing w:before="40" w:after="40"/>
              <w:rPr>
                <w:sz w:val="20"/>
              </w:rPr>
            </w:pPr>
            <w:r w:rsidRPr="005514E7">
              <w:rPr>
                <w:b/>
                <w:noProof/>
                <w:sz w:val="20"/>
              </w:rPr>
              <w:t>Lancashire County Pension Fund</w:t>
            </w:r>
          </w:p>
        </w:tc>
      </w:tr>
    </w:tbl>
    <w:p w:rsidR="005514E7" w:rsidRPr="005514E7" w:rsidRDefault="005514E7" w:rsidP="005514E7">
      <w:pPr>
        <w:pStyle w:val="NormalSingle"/>
        <w:rPr>
          <w:sz w:val="20"/>
        </w:rPr>
      </w:pPr>
    </w:p>
    <w:p w:rsidR="005514E7" w:rsidRPr="005514E7" w:rsidRDefault="005514E7" w:rsidP="005514E7">
      <w:pPr>
        <w:rPr>
          <w:sz w:val="20"/>
        </w:rPr>
      </w:pPr>
      <w:r w:rsidRPr="005514E7">
        <w:rPr>
          <w:sz w:val="20"/>
        </w:rPr>
        <w:t xml:space="preserve">I hereby certify that, in my opinion, the common rate of employers’ contributions payable in each year of the period of three years beginning 1 April 2011 should be at the rate of </w:t>
      </w:r>
      <w:r w:rsidRPr="005514E7">
        <w:rPr>
          <w:noProof/>
          <w:sz w:val="20"/>
        </w:rPr>
        <w:t xml:space="preserve">12.5 </w:t>
      </w:r>
      <w:r w:rsidRPr="005514E7">
        <w:rPr>
          <w:sz w:val="20"/>
        </w:rPr>
        <w:t xml:space="preserve">per cent of Pensionable Pay.  </w:t>
      </w:r>
    </w:p>
    <w:p w:rsidR="005514E7" w:rsidRPr="005514E7" w:rsidRDefault="005514E7" w:rsidP="005514E7">
      <w:pPr>
        <w:rPr>
          <w:sz w:val="20"/>
        </w:rPr>
      </w:pPr>
      <w:r w:rsidRPr="005514E7">
        <w:rPr>
          <w:sz w:val="20"/>
        </w:rPr>
        <w:t>I hereby certify that, in my opinion, the amount of the employers’ contributions payable in each year of the period of three years beginning with 1 April 2011, as set out above, should be individually adjusted as set out in the attached schedule.</w:t>
      </w:r>
    </w:p>
    <w:p w:rsidR="005514E7" w:rsidRPr="005514E7" w:rsidRDefault="005514E7" w:rsidP="005514E7">
      <w:pPr>
        <w:rPr>
          <w:sz w:val="20"/>
        </w:rPr>
      </w:pPr>
      <w:r w:rsidRPr="005514E7">
        <w:rPr>
          <w:sz w:val="20"/>
        </w:rPr>
        <w:t>Contributions will be payable monthly in arrears with each payment normally being due by the 19th of the following month.  Pensionable Pay is pay as determined under the LGPS regulations for the calculation of employee contributions.</w:t>
      </w:r>
    </w:p>
    <w:p w:rsidR="005514E7" w:rsidRPr="005514E7" w:rsidRDefault="005514E7" w:rsidP="005514E7">
      <w:pPr>
        <w:rPr>
          <w:sz w:val="20"/>
        </w:rPr>
      </w:pPr>
      <w:r w:rsidRPr="005514E7">
        <w:rPr>
          <w:sz w:val="20"/>
        </w:rPr>
        <w:t>For employers where no allowance for non ill-health early retirement costs is included in the valuation a further individual adjustment shall be applied in respect of each non-ill health early retirement occurring in the period of three years covered by this certificate. This further individual adjustment will be calculated in accordance with methods agreed from time to time between the Fund’s actuary and the Administering Authority.</w:t>
      </w:r>
    </w:p>
    <w:p w:rsidR="005514E7" w:rsidRPr="005514E7" w:rsidRDefault="005514E7" w:rsidP="005514E7">
      <w:pPr>
        <w:rPr>
          <w:sz w:val="20"/>
        </w:rPr>
      </w:pPr>
      <w:r w:rsidRPr="005514E7">
        <w:rPr>
          <w:sz w:val="20"/>
        </w:rPr>
        <w:t>The contributions set out in the attached schedule represent the minimum contribution which may be paid by each employer.  Additional contributions may be paid if requested by the employer concerned.</w:t>
      </w:r>
    </w:p>
    <w:p w:rsidR="005514E7" w:rsidRPr="005514E7" w:rsidRDefault="005514E7" w:rsidP="005514E7">
      <w:pPr>
        <w:rPr>
          <w:sz w:val="20"/>
        </w:rPr>
      </w:pPr>
      <w:r w:rsidRPr="005514E7">
        <w:rPr>
          <w:sz w:val="20"/>
        </w:rPr>
        <w:t>The contributions may be varied as agreed by the Actuary and Administering Authority to reflect any changes in contribution requirements as a result of any benefit costs being insured against a third party.</w:t>
      </w:r>
    </w:p>
    <w:p w:rsidR="005514E7" w:rsidRPr="005514E7" w:rsidRDefault="005514E7" w:rsidP="005514E7">
      <w:pPr>
        <w:rPr>
          <w:b/>
          <w:color w:val="0057A6"/>
          <w:sz w:val="20"/>
        </w:rPr>
      </w:pPr>
      <w:r w:rsidRPr="005514E7">
        <w:rPr>
          <w:b/>
          <w:color w:val="0057A6"/>
          <w:sz w:val="20"/>
        </w:rPr>
        <w:t xml:space="preserve">Regulation 36(8)  </w:t>
      </w:r>
    </w:p>
    <w:p w:rsidR="005514E7" w:rsidRPr="005514E7" w:rsidRDefault="005514E7" w:rsidP="005514E7">
      <w:pPr>
        <w:rPr>
          <w:sz w:val="20"/>
        </w:rPr>
      </w:pPr>
      <w:r w:rsidRPr="005514E7">
        <w:rPr>
          <w:sz w:val="20"/>
        </w:rPr>
        <w:t>Allowance for ill health retirements has been included in each employer’s contribution rate, on the basis of the method and assumptions set out in the report.</w:t>
      </w:r>
    </w:p>
    <w:p w:rsidR="005514E7" w:rsidRPr="005514E7" w:rsidRDefault="005514E7" w:rsidP="005514E7">
      <w:pPr>
        <w:rPr>
          <w:sz w:val="20"/>
        </w:rPr>
      </w:pPr>
      <w:r w:rsidRPr="005514E7">
        <w:rPr>
          <w:sz w:val="20"/>
        </w:rPr>
        <w:t>For four employers I have shown on the attached Schedule the allowance made for non-ill health early retirements over the period of three years beginning 1 April 2011 taken into account when setting this employer’s contribution rate.</w:t>
      </w:r>
    </w:p>
    <w:p w:rsidR="005514E7" w:rsidRPr="005514E7" w:rsidRDefault="005514E7" w:rsidP="005514E7">
      <w:pPr>
        <w:rPr>
          <w:sz w:val="20"/>
        </w:rPr>
      </w:pPr>
      <w:r w:rsidRPr="005514E7">
        <w:rPr>
          <w:sz w:val="20"/>
        </w:rPr>
        <w:t>No allowance for non-ill health early retirements has been made in determining the results of the valuation for other employers, on the basis that the costs arising will be met by additional contributions.</w:t>
      </w:r>
    </w:p>
    <w:p w:rsidR="005514E7" w:rsidRPr="005514E7" w:rsidRDefault="005514E7" w:rsidP="005514E7">
      <w:pPr>
        <w:rPr>
          <w:sz w:val="20"/>
        </w:rPr>
      </w:pPr>
      <w:r>
        <w:rPr>
          <w:noProof/>
          <w:sz w:val="20"/>
        </w:rPr>
        <w:drawing>
          <wp:anchor distT="0" distB="0" distL="114300" distR="114300" simplePos="0" relativeHeight="251674624" behindDoc="0" locked="0" layoutInCell="1" allowOverlap="1">
            <wp:simplePos x="0" y="0"/>
            <wp:positionH relativeFrom="column">
              <wp:posOffset>2375535</wp:posOffset>
            </wp:positionH>
            <wp:positionV relativeFrom="paragraph">
              <wp:posOffset>48895</wp:posOffset>
            </wp:positionV>
            <wp:extent cx="923925" cy="542925"/>
            <wp:effectExtent l="19050" t="0" r="9525" b="0"/>
            <wp:wrapSquare wrapText="bothSides"/>
            <wp:docPr id="40" name="Picture 32"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010320052"/>
                    <pic:cNvPicPr>
                      <a:picLocks noChangeAspect="1" noChangeArrowheads="1"/>
                    </pic:cNvPicPr>
                  </pic:nvPicPr>
                  <pic:blipFill>
                    <a:blip r:embed="rId32" cstate="print"/>
                    <a:srcRect l="28194" t="67473" r="52292" b="17204"/>
                    <a:stretch>
                      <a:fillRect/>
                    </a:stretch>
                  </pic:blipFill>
                  <pic:spPr bwMode="auto">
                    <a:xfrm>
                      <a:off x="0" y="0"/>
                      <a:ext cx="923925" cy="542925"/>
                    </a:xfrm>
                    <a:prstGeom prst="rect">
                      <a:avLst/>
                    </a:prstGeom>
                    <a:noFill/>
                    <a:ln w="9525">
                      <a:noFill/>
                      <a:miter lim="800000"/>
                      <a:headEnd/>
                      <a:tailEnd/>
                    </a:ln>
                  </pic:spPr>
                </pic:pic>
              </a:graphicData>
            </a:graphic>
          </wp:anchor>
        </w:drawing>
      </w:r>
    </w:p>
    <w:p w:rsidR="005514E7" w:rsidRDefault="005514E7" w:rsidP="005514E7"/>
    <w:p w:rsidR="005514E7" w:rsidRDefault="005514E7" w:rsidP="005514E7">
      <w:pPr>
        <w:rPr>
          <w:b/>
          <w:szCs w:val="22"/>
        </w:rPr>
      </w:pPr>
    </w:p>
    <w:p w:rsidR="005514E7" w:rsidRPr="005514E7" w:rsidRDefault="001C31F0" w:rsidP="005514E7">
      <w:pPr>
        <w:rPr>
          <w:b/>
          <w:sz w:val="20"/>
        </w:rPr>
      </w:pPr>
      <w:r>
        <w:rPr>
          <w:b/>
          <w:noProof/>
          <w:sz w:val="20"/>
        </w:rPr>
        <w:pict>
          <v:line id="_x0000_s1395" style="position:absolute;z-index:251673600" from="124.8pt,12.15pt" to="331.8pt,12.15pt"/>
        </w:pict>
      </w:r>
      <w:r w:rsidR="005514E7" w:rsidRPr="005514E7">
        <w:rPr>
          <w:b/>
          <w:sz w:val="20"/>
        </w:rPr>
        <w:t>Signature</w:t>
      </w:r>
    </w:p>
    <w:p w:rsidR="005514E7" w:rsidRPr="005514E7" w:rsidRDefault="005514E7" w:rsidP="005514E7">
      <w:pPr>
        <w:rPr>
          <w:b/>
          <w:sz w:val="20"/>
        </w:rPr>
      </w:pPr>
    </w:p>
    <w:p w:rsidR="005514E7" w:rsidRPr="005514E7" w:rsidRDefault="005514E7" w:rsidP="005514E7">
      <w:pPr>
        <w:rPr>
          <w:noProof/>
          <w:sz w:val="20"/>
        </w:rPr>
      </w:pPr>
      <w:r w:rsidRPr="005514E7">
        <w:rPr>
          <w:b/>
          <w:sz w:val="20"/>
        </w:rPr>
        <w:t>Name</w:t>
      </w:r>
      <w:r w:rsidRPr="005514E7">
        <w:rPr>
          <w:b/>
          <w:sz w:val="20"/>
        </w:rPr>
        <w:tab/>
      </w:r>
      <w:r w:rsidRPr="005514E7">
        <w:rPr>
          <w:b/>
          <w:sz w:val="20"/>
        </w:rPr>
        <w:tab/>
      </w:r>
      <w:r w:rsidRPr="005514E7">
        <w:rPr>
          <w:b/>
          <w:sz w:val="20"/>
        </w:rPr>
        <w:tab/>
      </w:r>
      <w:r w:rsidRPr="005514E7">
        <w:rPr>
          <w:b/>
          <w:sz w:val="20"/>
        </w:rPr>
        <w:tab/>
      </w:r>
      <w:r w:rsidRPr="005514E7">
        <w:rPr>
          <w:b/>
          <w:sz w:val="20"/>
        </w:rPr>
        <w:tab/>
      </w:r>
      <w:r w:rsidRPr="005514E7">
        <w:rPr>
          <w:b/>
          <w:sz w:val="20"/>
        </w:rPr>
        <w:tab/>
      </w:r>
      <w:r w:rsidRPr="005514E7">
        <w:rPr>
          <w:noProof/>
          <w:sz w:val="20"/>
        </w:rPr>
        <w:t>John Livesey</w:t>
      </w:r>
    </w:p>
    <w:p w:rsidR="005514E7" w:rsidRPr="005514E7" w:rsidRDefault="005514E7" w:rsidP="005514E7">
      <w:pPr>
        <w:rPr>
          <w:b/>
          <w:sz w:val="20"/>
        </w:rPr>
      </w:pPr>
      <w:r w:rsidRPr="005514E7">
        <w:rPr>
          <w:b/>
          <w:sz w:val="20"/>
        </w:rPr>
        <w:t>Qualification</w:t>
      </w:r>
      <w:r w:rsidRPr="005514E7">
        <w:rPr>
          <w:b/>
          <w:sz w:val="20"/>
        </w:rPr>
        <w:tab/>
      </w:r>
      <w:r w:rsidRPr="005514E7">
        <w:rPr>
          <w:b/>
          <w:sz w:val="20"/>
        </w:rPr>
        <w:tab/>
      </w:r>
      <w:r w:rsidRPr="005514E7">
        <w:rPr>
          <w:sz w:val="20"/>
        </w:rPr>
        <w:t>Fellow of the Institute of Actuaries</w:t>
      </w:r>
    </w:p>
    <w:p w:rsidR="005514E7" w:rsidRPr="009A3AFE" w:rsidRDefault="005514E7" w:rsidP="005514E7">
      <w:pPr>
        <w:rPr>
          <w:b/>
          <w:sz w:val="28"/>
          <w:highlight w:val="yellow"/>
        </w:rPr>
      </w:pPr>
      <w:r w:rsidRPr="005514E7">
        <w:rPr>
          <w:b/>
          <w:sz w:val="20"/>
        </w:rPr>
        <w:t>Date of signing</w:t>
      </w:r>
      <w:r w:rsidRPr="005514E7">
        <w:rPr>
          <w:b/>
          <w:sz w:val="20"/>
        </w:rPr>
        <w:tab/>
      </w:r>
      <w:r w:rsidRPr="005514E7">
        <w:rPr>
          <w:b/>
          <w:sz w:val="20"/>
        </w:rPr>
        <w:tab/>
      </w:r>
      <w:r w:rsidRPr="005514E7">
        <w:rPr>
          <w:noProof/>
          <w:sz w:val="20"/>
        </w:rPr>
        <w:t>31 March 2011</w:t>
      </w:r>
    </w:p>
    <w:p w:rsidR="00A67129" w:rsidRPr="009A3AFE" w:rsidRDefault="00A67129" w:rsidP="0086294C">
      <w:pPr>
        <w:ind w:left="-284"/>
        <w:jc w:val="center"/>
        <w:rPr>
          <w:b/>
          <w:sz w:val="28"/>
          <w:highlight w:val="yellow"/>
        </w:rPr>
      </w:pPr>
    </w:p>
    <w:p w:rsidR="00962A6A" w:rsidRPr="009A3AFE" w:rsidRDefault="00962A6A" w:rsidP="0086294C">
      <w:pPr>
        <w:ind w:left="-284"/>
        <w:jc w:val="center"/>
        <w:rPr>
          <w:b/>
          <w:sz w:val="28"/>
          <w:highlight w:val="yellow"/>
        </w:rPr>
      </w:pPr>
    </w:p>
    <w:p w:rsidR="00653ED4" w:rsidRPr="009A3AFE" w:rsidRDefault="00653ED4" w:rsidP="0086294C">
      <w:pPr>
        <w:ind w:left="-284"/>
        <w:jc w:val="center"/>
        <w:rPr>
          <w:b/>
          <w:sz w:val="28"/>
          <w:highlight w:val="yellow"/>
        </w:rPr>
      </w:pPr>
    </w:p>
    <w:p w:rsidR="0086294C" w:rsidRPr="009227D1" w:rsidRDefault="0086294C" w:rsidP="0086294C">
      <w:pPr>
        <w:ind w:left="-284"/>
        <w:jc w:val="center"/>
        <w:rPr>
          <w:sz w:val="28"/>
        </w:rPr>
      </w:pPr>
      <w:r w:rsidRPr="009227D1">
        <w:rPr>
          <w:sz w:val="28"/>
        </w:rPr>
        <w:t>Schedule to the Rates and Adjustments Certificate dated 3</w:t>
      </w:r>
      <w:r w:rsidR="009227D1" w:rsidRPr="009227D1">
        <w:rPr>
          <w:sz w:val="28"/>
        </w:rPr>
        <w:t>1</w:t>
      </w:r>
      <w:r w:rsidR="001D02DE" w:rsidRPr="009227D1">
        <w:rPr>
          <w:sz w:val="28"/>
        </w:rPr>
        <w:t xml:space="preserve"> </w:t>
      </w:r>
      <w:r w:rsidRPr="009227D1">
        <w:rPr>
          <w:sz w:val="28"/>
        </w:rPr>
        <w:t>March 20</w:t>
      </w:r>
      <w:r w:rsidR="009227D1" w:rsidRPr="009227D1">
        <w:rPr>
          <w:sz w:val="28"/>
        </w:rPr>
        <w:t>11</w:t>
      </w:r>
    </w:p>
    <w:p w:rsidR="00305FAF" w:rsidRPr="009A3AFE" w:rsidRDefault="00305FAF" w:rsidP="0086294C">
      <w:pPr>
        <w:ind w:left="-284"/>
        <w:jc w:val="center"/>
        <w:rPr>
          <w:b/>
          <w:sz w:val="28"/>
          <w:highlight w:val="yellow"/>
        </w:rPr>
      </w:pPr>
    </w:p>
    <w:p w:rsidR="0086294C" w:rsidRPr="009A3AFE" w:rsidRDefault="0086294C" w:rsidP="0086294C">
      <w:pPr>
        <w:ind w:left="-284"/>
        <w:jc w:val="center"/>
        <w:rPr>
          <w:b/>
          <w:sz w:val="28"/>
          <w:highlight w:val="yellow"/>
        </w:rPr>
      </w:pPr>
    </w:p>
    <w:p w:rsidR="0086294C" w:rsidRPr="009A3AFE" w:rsidRDefault="0086294C" w:rsidP="0086294C">
      <w:pPr>
        <w:rPr>
          <w:sz w:val="12"/>
          <w:highlight w:val="yellow"/>
        </w:rPr>
      </w:pPr>
    </w:p>
    <w:tbl>
      <w:tblPr>
        <w:tblW w:w="10286" w:type="dxa"/>
        <w:tblInd w:w="-225" w:type="dxa"/>
        <w:shd w:val="clear" w:color="auto" w:fill="F3F3F3"/>
        <w:tblLayout w:type="fixed"/>
        <w:tblLook w:val="0000"/>
      </w:tblPr>
      <w:tblGrid>
        <w:gridCol w:w="3168"/>
        <w:gridCol w:w="896"/>
        <w:gridCol w:w="97"/>
        <w:gridCol w:w="773"/>
        <w:gridCol w:w="870"/>
        <w:gridCol w:w="908"/>
        <w:gridCol w:w="832"/>
        <w:gridCol w:w="870"/>
        <w:gridCol w:w="1872"/>
      </w:tblGrid>
      <w:tr w:rsidR="00FD3A07" w:rsidRPr="009A3AFE" w:rsidTr="00F6079E">
        <w:tc>
          <w:tcPr>
            <w:tcW w:w="3168" w:type="dxa"/>
            <w:tcBorders>
              <w:top w:val="single" w:sz="4" w:space="0" w:color="auto"/>
              <w:left w:val="single" w:sz="4" w:space="0" w:color="auto"/>
              <w:right w:val="single" w:sz="4" w:space="0" w:color="auto"/>
            </w:tcBorders>
            <w:shd w:val="clear" w:color="auto" w:fill="F3F3F3"/>
          </w:tcPr>
          <w:p w:rsidR="00FD3A07" w:rsidRPr="009A3AFE" w:rsidRDefault="00FD3A07" w:rsidP="00F524EB">
            <w:pPr>
              <w:rPr>
                <w:b/>
                <w:sz w:val="18"/>
                <w:highlight w:val="yellow"/>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A92013" w:rsidP="00A92013">
            <w:pPr>
              <w:jc w:val="center"/>
              <w:rPr>
                <w:b/>
                <w:color w:val="000000"/>
                <w:sz w:val="18"/>
              </w:rPr>
            </w:pPr>
            <w:r w:rsidRPr="00A92013">
              <w:rPr>
                <w:b/>
                <w:color w:val="000000"/>
                <w:sz w:val="18"/>
              </w:rPr>
              <w:t>2011</w:t>
            </w:r>
            <w:r w:rsidR="00FD3A07" w:rsidRPr="00A92013">
              <w:rPr>
                <w:b/>
                <w:color w:val="000000"/>
                <w:sz w:val="18"/>
              </w:rPr>
              <w:t>/</w:t>
            </w:r>
            <w:r w:rsidRPr="00A92013">
              <w:rPr>
                <w:b/>
                <w:color w:val="000000"/>
                <w:sz w:val="18"/>
              </w:rPr>
              <w:t>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8"/>
              </w:rPr>
            </w:pPr>
            <w:r w:rsidRPr="00A92013">
              <w:rPr>
                <w:b/>
                <w:color w:val="000000"/>
                <w:sz w:val="18"/>
              </w:rPr>
              <w:t>20</w:t>
            </w:r>
            <w:r w:rsidR="00A92013" w:rsidRPr="00A92013">
              <w:rPr>
                <w:b/>
                <w:color w:val="000000"/>
                <w:sz w:val="18"/>
              </w:rPr>
              <w:t>12</w:t>
            </w:r>
            <w:r w:rsidRPr="00A92013">
              <w:rPr>
                <w:b/>
                <w:color w:val="000000"/>
                <w:sz w:val="18"/>
              </w:rPr>
              <w:t>/1</w:t>
            </w:r>
            <w:r w:rsidR="00A92013" w:rsidRPr="00A92013">
              <w:rPr>
                <w:b/>
                <w:color w:val="000000"/>
                <w:sz w:val="18"/>
              </w:rPr>
              <w:t>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8"/>
              </w:rPr>
            </w:pPr>
            <w:r w:rsidRPr="00A92013">
              <w:rPr>
                <w:b/>
                <w:color w:val="000000"/>
                <w:sz w:val="18"/>
                <w:szCs w:val="18"/>
              </w:rPr>
              <w:t>201</w:t>
            </w:r>
            <w:r w:rsidR="00A92013" w:rsidRPr="00A92013">
              <w:rPr>
                <w:b/>
                <w:color w:val="000000"/>
                <w:sz w:val="18"/>
                <w:szCs w:val="18"/>
              </w:rPr>
              <w:t>3</w:t>
            </w:r>
            <w:r w:rsidRPr="00A92013">
              <w:rPr>
                <w:b/>
                <w:color w:val="000000"/>
                <w:sz w:val="18"/>
                <w:szCs w:val="18"/>
              </w:rPr>
              <w:t>/1</w:t>
            </w:r>
            <w:r w:rsidR="00A92013" w:rsidRPr="00A92013">
              <w:rPr>
                <w:b/>
                <w:color w:val="000000"/>
                <w:sz w:val="18"/>
                <w:szCs w:val="18"/>
              </w:rPr>
              <w:t>4</w:t>
            </w:r>
          </w:p>
        </w:tc>
        <w:tc>
          <w:tcPr>
            <w:tcW w:w="1872" w:type="dxa"/>
            <w:tcBorders>
              <w:top w:val="single" w:sz="4" w:space="0" w:color="auto"/>
              <w:left w:val="single" w:sz="4" w:space="0" w:color="auto"/>
              <w:bottom w:val="single" w:sz="4" w:space="0" w:color="auto"/>
              <w:right w:val="single" w:sz="4" w:space="0" w:color="auto"/>
            </w:tcBorders>
            <w:shd w:val="clear" w:color="auto" w:fill="F3F3F3"/>
          </w:tcPr>
          <w:p w:rsidR="00FD3A07" w:rsidRPr="00A92013" w:rsidRDefault="00FD3A07" w:rsidP="00A92013">
            <w:pPr>
              <w:jc w:val="center"/>
              <w:rPr>
                <w:b/>
                <w:sz w:val="18"/>
              </w:rPr>
            </w:pPr>
            <w:r w:rsidRPr="00A92013">
              <w:rPr>
                <w:b/>
                <w:color w:val="000000"/>
                <w:sz w:val="18"/>
                <w:szCs w:val="18"/>
              </w:rPr>
              <w:t>Non-ill health early retirement allowance included for the 3 years 20</w:t>
            </w:r>
            <w:r w:rsidR="00A92013" w:rsidRPr="00A92013">
              <w:rPr>
                <w:b/>
                <w:color w:val="000000"/>
                <w:sz w:val="18"/>
                <w:szCs w:val="18"/>
              </w:rPr>
              <w:t>11</w:t>
            </w:r>
            <w:r w:rsidRPr="00A92013">
              <w:rPr>
                <w:b/>
                <w:color w:val="000000"/>
                <w:sz w:val="18"/>
                <w:szCs w:val="18"/>
              </w:rPr>
              <w:t>/1</w:t>
            </w:r>
            <w:r w:rsidR="00A92013" w:rsidRPr="00A92013">
              <w:rPr>
                <w:b/>
                <w:color w:val="000000"/>
                <w:sz w:val="18"/>
                <w:szCs w:val="18"/>
              </w:rPr>
              <w:t>4</w:t>
            </w:r>
          </w:p>
        </w:tc>
      </w:tr>
      <w:tr w:rsidR="00FD3A07" w:rsidRPr="009A3AFE"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9227D1" w:rsidRPr="009A3AFE" w:rsidRDefault="009227D1" w:rsidP="00D25355">
            <w:pPr>
              <w:rPr>
                <w:b/>
                <w:sz w:val="18"/>
                <w:highlight w:val="yellow"/>
              </w:rPr>
            </w:pPr>
            <w:r w:rsidRPr="009227D1">
              <w:rPr>
                <w:b/>
                <w:sz w:val="18"/>
              </w:rPr>
              <w:t>Employers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Default="00FD3A07" w:rsidP="00A92013">
            <w:pPr>
              <w:jc w:val="center"/>
              <w:rPr>
                <w:b/>
                <w:sz w:val="14"/>
              </w:rPr>
            </w:pPr>
            <w:r w:rsidRPr="00A92013">
              <w:rPr>
                <w:b/>
                <w:sz w:val="14"/>
              </w:rPr>
              <w:t>Individual Adjust-ment)</w:t>
            </w:r>
          </w:p>
          <w:p w:rsidR="00B51B16" w:rsidRPr="00A92013" w:rsidRDefault="00B51B16" w:rsidP="00A92013">
            <w:pPr>
              <w:jc w:val="center"/>
              <w:rPr>
                <w:b/>
                <w:sz w:val="14"/>
              </w:rPr>
            </w:pPr>
            <w:r>
              <w:rPr>
                <w:b/>
                <w:sz w:val="14"/>
              </w:rPr>
              <w:t>%</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FD3A07" w:rsidP="00A92013">
            <w:pPr>
              <w:jc w:val="center"/>
              <w:rPr>
                <w:b/>
                <w:sz w:val="14"/>
              </w:rPr>
            </w:pPr>
            <w:r w:rsidRPr="00A92013">
              <w:rPr>
                <w:b/>
                <w:sz w:val="14"/>
              </w:rPr>
              <w:t>Total Contribu-tion Rate</w:t>
            </w:r>
          </w:p>
          <w:p w:rsidR="00FD3A07" w:rsidRPr="00A92013" w:rsidRDefault="00B51B16" w:rsidP="00A92013">
            <w:pPr>
              <w:jc w:val="center"/>
              <w:rPr>
                <w:b/>
                <w:sz w:val="14"/>
              </w:rPr>
            </w:pPr>
            <w:r>
              <w:rPr>
                <w:b/>
                <w:sz w:val="14"/>
              </w:rPr>
              <w:t>%</w:t>
            </w:r>
            <w:r w:rsidR="00FD3A07" w:rsidRPr="00A92013">
              <w:rPr>
                <w:b/>
                <w:sz w:val="14"/>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4"/>
              </w:rPr>
            </w:pPr>
            <w:r w:rsidRPr="00A92013">
              <w:rPr>
                <w:b/>
                <w:sz w:val="14"/>
              </w:rPr>
              <w:t>Individual Adjust-ment</w:t>
            </w:r>
            <w:r w:rsidRPr="00A92013">
              <w:rPr>
                <w:b/>
                <w:sz w:val="14"/>
              </w:rPr>
              <w:br/>
            </w:r>
            <w:r w:rsidR="00B51B16">
              <w:rPr>
                <w:b/>
                <w:sz w:val="14"/>
              </w:rP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Default="00FD3A07" w:rsidP="00A92013">
            <w:pPr>
              <w:jc w:val="center"/>
              <w:rPr>
                <w:b/>
                <w:sz w:val="14"/>
              </w:rPr>
            </w:pPr>
            <w:r w:rsidRPr="00A92013">
              <w:rPr>
                <w:b/>
                <w:sz w:val="14"/>
              </w:rPr>
              <w:t xml:space="preserve">Total Contribu-tion Rate </w:t>
            </w:r>
          </w:p>
          <w:p w:rsidR="00B51B16" w:rsidRPr="00A92013" w:rsidRDefault="00B51B16" w:rsidP="00A92013">
            <w:pPr>
              <w:jc w:val="center"/>
              <w:rPr>
                <w:b/>
                <w:sz w:val="14"/>
              </w:rPr>
            </w:pPr>
            <w:r>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A92013" w:rsidRDefault="00FD3A07" w:rsidP="00A92013">
            <w:pPr>
              <w:jc w:val="center"/>
              <w:rPr>
                <w:b/>
                <w:sz w:val="14"/>
              </w:rPr>
            </w:pPr>
            <w:r w:rsidRPr="00A92013">
              <w:rPr>
                <w:b/>
                <w:sz w:val="14"/>
              </w:rPr>
              <w:t>Individual Adjust-ment</w:t>
            </w:r>
            <w:r w:rsidRPr="00A92013">
              <w:rPr>
                <w:b/>
                <w:sz w:val="14"/>
              </w:rPr>
              <w:br/>
            </w:r>
            <w:r w:rsidR="00B51B16">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FD3A07" w:rsidP="00A92013">
            <w:pPr>
              <w:jc w:val="center"/>
              <w:rPr>
                <w:b/>
                <w:sz w:val="14"/>
              </w:rPr>
            </w:pPr>
            <w:r w:rsidRPr="00B51B16">
              <w:rPr>
                <w:b/>
                <w:sz w:val="14"/>
              </w:rPr>
              <w:t>Total Contribu-tion Rate</w:t>
            </w:r>
          </w:p>
          <w:p w:rsidR="00FD3A07" w:rsidRPr="00B51B16" w:rsidRDefault="00B51B16" w:rsidP="00A92013">
            <w:pPr>
              <w:jc w:val="center"/>
              <w:rPr>
                <w:b/>
                <w:sz w:val="14"/>
              </w:rPr>
            </w:pPr>
            <w:r w:rsidRPr="00B51B16">
              <w:rPr>
                <w:b/>
                <w:sz w:val="14"/>
              </w:rPr>
              <w:t>%</w:t>
            </w:r>
            <w:r w:rsidR="00FD3A07"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D3A07" w:rsidRPr="009227D1" w:rsidRDefault="00FD3A07" w:rsidP="00D25355">
            <w:pPr>
              <w:jc w:val="center"/>
              <w:rPr>
                <w:b/>
                <w:sz w:val="14"/>
                <w:szCs w:val="14"/>
              </w:rPr>
            </w:pPr>
            <w:r w:rsidRPr="009227D1">
              <w:rPr>
                <w:b/>
                <w:sz w:val="14"/>
                <w:szCs w:val="14"/>
              </w:rPr>
              <w:t>Amount</w:t>
            </w:r>
            <w:r w:rsidRPr="009227D1">
              <w:rPr>
                <w:b/>
                <w:sz w:val="14"/>
                <w:szCs w:val="14"/>
              </w:rPr>
              <w:br/>
              <w:t>£</w:t>
            </w:r>
          </w:p>
        </w:tc>
      </w:tr>
      <w:tr w:rsidR="00A92013"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ABM Catering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rPr>
                <w:sz w:val="18"/>
                <w:szCs w:val="18"/>
                <w:highlight w:val="yellow"/>
              </w:rPr>
            </w:pPr>
            <w:r w:rsidRPr="00A92013">
              <w:rPr>
                <w:sz w:val="18"/>
                <w:szCs w:val="18"/>
              </w:rPr>
              <w:t>Accrington &amp; Rossendale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smartTag w:uri="urn:schemas-microsoft-com:office:smarttags" w:element="place">
              <w:smartTag w:uri="urn:schemas-microsoft-com:office:smarttags" w:element="PlaceName">
                <w:r>
                  <w:rPr>
                    <w:rFonts w:cs="Arial"/>
                    <w:sz w:val="18"/>
                    <w:szCs w:val="18"/>
                  </w:rPr>
                  <w:t>Accrington</w:t>
                </w:r>
              </w:smartTag>
              <w:r>
                <w:rPr>
                  <w:rFonts w:cs="Arial"/>
                  <w:sz w:val="18"/>
                  <w:szCs w:val="18"/>
                </w:rPr>
                <w:t xml:space="preserve"> </w:t>
              </w:r>
              <w:smartTag w:uri="urn:schemas-microsoft-com:office:smarttags" w:element="PlaceType">
                <w:r>
                  <w:rPr>
                    <w:rFonts w:cs="Arial"/>
                    <w:sz w:val="18"/>
                    <w:szCs w:val="18"/>
                  </w:rPr>
                  <w:t>Academy</w:t>
                </w:r>
              </w:smartTag>
            </w:smartTag>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10.7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Alternative Futures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 xml:space="preserve">Andron (City of </w:t>
            </w:r>
            <w:smartTag w:uri="urn:schemas-microsoft-com:office:smarttags" w:element="place">
              <w:smartTag w:uri="urn:schemas-microsoft-com:office:smarttags" w:element="City">
                <w:r>
                  <w:rPr>
                    <w:rFonts w:cs="Arial"/>
                    <w:sz w:val="18"/>
                    <w:szCs w:val="18"/>
                  </w:rPr>
                  <w:t>Preston</w:t>
                </w:r>
              </w:smartTag>
            </w:smartTag>
            <w:r>
              <w:rPr>
                <w:rFonts w:cs="Arial"/>
                <w:sz w:val="18"/>
                <w:szCs w:val="18"/>
              </w:rPr>
              <w:t xml:space="preserve">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w:t>
            </w:r>
            <w:smartTag w:uri="urn:schemas-microsoft-com:office:smarttags" w:element="place">
              <w:smartTag w:uri="urn:schemas-microsoft-com:office:smarttags" w:element="PlaceName">
                <w:r>
                  <w:rPr>
                    <w:rFonts w:cs="Arial"/>
                    <w:sz w:val="18"/>
                    <w:szCs w:val="18"/>
                  </w:rPr>
                  <w:t>Glenburn</w:t>
                </w:r>
              </w:smartTag>
              <w:r>
                <w:rPr>
                  <w:rFonts w:cs="Arial"/>
                  <w:sz w:val="18"/>
                  <w:szCs w:val="18"/>
                </w:rPr>
                <w:t xml:space="preserve"> </w:t>
              </w:r>
              <w:smartTag w:uri="urn:schemas-microsoft-com:office:smarttags" w:element="PlaceName">
                <w:r>
                  <w:rPr>
                    <w:rFonts w:cs="Arial"/>
                    <w:sz w:val="18"/>
                    <w:szCs w:val="18"/>
                  </w:rPr>
                  <w:t>Sports</w:t>
                </w:r>
              </w:smartTag>
              <w:r>
                <w:rPr>
                  <w:rFonts w:cs="Arial"/>
                  <w:sz w:val="18"/>
                  <w:szCs w:val="18"/>
                </w:rPr>
                <w:t xml:space="preserve"> </w:t>
              </w:r>
              <w:smartTag w:uri="urn:schemas-microsoft-com:office:smarttags" w:element="PlaceType">
                <w:r>
                  <w:rPr>
                    <w:rFonts w:cs="Arial"/>
                    <w:sz w:val="18"/>
                    <w:szCs w:val="18"/>
                  </w:rPr>
                  <w:t>College</w:t>
                </w:r>
              </w:smartTag>
            </w:smartTag>
            <w:r>
              <w:rPr>
                <w:rFonts w:cs="Arial"/>
                <w:sz w:val="18"/>
                <w:szCs w:val="18"/>
              </w:rPr>
              <w:t>)</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(Kennington)</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rPr>
                <w:rFonts w:cs="Arial"/>
                <w:sz w:val="18"/>
                <w:szCs w:val="18"/>
              </w:rPr>
            </w:pPr>
            <w:r>
              <w:rPr>
                <w:rFonts w:cs="Arial"/>
                <w:sz w:val="18"/>
                <w:szCs w:val="18"/>
              </w:rPr>
              <w:t>Andron (Ribblesdale High)</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12.2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A92013" w:rsidRDefault="00A92013" w:rsidP="00D25355">
            <w:pPr>
              <w:spacing w:before="60" w:after="60"/>
              <w:rPr>
                <w:snapToGrid w:val="0"/>
                <w:sz w:val="18"/>
                <w:szCs w:val="18"/>
                <w:lang w:eastAsia="en-US"/>
              </w:rPr>
            </w:pPr>
            <w:r w:rsidRPr="00A92013">
              <w:rPr>
                <w:snapToGrid w:val="0"/>
                <w:sz w:val="18"/>
                <w:szCs w:val="18"/>
                <w:lang w:eastAsia="en-US"/>
              </w:rPr>
              <w:t>Arnold Schools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7.4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19.9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A92013"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rPr>
                <w:snapToGrid w:val="0"/>
                <w:sz w:val="18"/>
                <w:szCs w:val="18"/>
                <w:highlight w:val="yellow"/>
                <w:lang w:eastAsia="en-US"/>
              </w:rPr>
            </w:pPr>
            <w:r w:rsidRPr="00A92013">
              <w:rPr>
                <w:snapToGrid w:val="0"/>
                <w:sz w:val="18"/>
                <w:szCs w:val="18"/>
                <w:lang w:eastAsia="en-US"/>
              </w:rPr>
              <w:t>Beaufort Avenue Day Care Centre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26.5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17.7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30.2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21.3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Default="00A92013" w:rsidP="00A92013">
            <w:pPr>
              <w:autoSpaceDE w:val="0"/>
              <w:autoSpaceDN w:val="0"/>
              <w:adjustRightInd w:val="0"/>
              <w:jc w:val="center"/>
              <w:rPr>
                <w:rFonts w:cs="Arial"/>
                <w:sz w:val="18"/>
                <w:szCs w:val="18"/>
              </w:rPr>
            </w:pPr>
            <w:r>
              <w:rPr>
                <w:rFonts w:cs="Arial"/>
                <w:sz w:val="18"/>
                <w:szCs w:val="18"/>
              </w:rPr>
              <w:t>33.8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A92013" w:rsidRPr="009A3AFE" w:rsidRDefault="00A92013"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Blackburn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Blackburn St Mary's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Blackburn with Darwen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3.1</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&amp; The Fylde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 xml:space="preserve"> £246,000 </w:t>
            </w: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Airport Ltd (from July 2004)</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33.0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24.5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37.0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F91505" w:rsidRDefault="003606AE" w:rsidP="003606AE">
            <w:pPr>
              <w:autoSpaceDE w:val="0"/>
              <w:autoSpaceDN w:val="0"/>
              <w:adjustRightInd w:val="0"/>
              <w:jc w:val="center"/>
              <w:rPr>
                <w:rFonts w:cs="Arial"/>
                <w:sz w:val="18"/>
                <w:szCs w:val="18"/>
              </w:rPr>
            </w:pPr>
            <w:r w:rsidRPr="00F91505">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Borough Council</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17.4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 xml:space="preserve"> £697,600 </w:t>
            </w: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Coastal Housing</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rPr>
                <w:snapToGrid w:val="0"/>
                <w:sz w:val="18"/>
                <w:szCs w:val="18"/>
                <w:highlight w:val="yellow"/>
                <w:lang w:eastAsia="en-US"/>
              </w:rPr>
            </w:pPr>
            <w:r w:rsidRPr="003606AE">
              <w:rPr>
                <w:snapToGrid w:val="0"/>
                <w:sz w:val="18"/>
                <w:szCs w:val="18"/>
                <w:lang w:eastAsia="en-US"/>
              </w:rPr>
              <w:t>Blackpool Sixth Form College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Transport Services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ind w:left="-108"/>
              <w:jc w:val="center"/>
              <w:rPr>
                <w:rFonts w:cs="Arial"/>
                <w:sz w:val="18"/>
                <w:szCs w:val="18"/>
              </w:rPr>
            </w:pPr>
            <w:r>
              <w:rPr>
                <w:rFonts w:cs="Arial"/>
                <w:sz w:val="18"/>
                <w:szCs w:val="18"/>
              </w:rPr>
              <w:t>-12.5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Zoo (Grant Leisure)</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5.5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7.1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3606AE" w:rsidRDefault="003606AE" w:rsidP="00D25355">
            <w:pPr>
              <w:spacing w:before="60" w:after="60"/>
              <w:rPr>
                <w:snapToGrid w:val="0"/>
                <w:sz w:val="18"/>
                <w:szCs w:val="18"/>
                <w:lang w:eastAsia="en-US"/>
              </w:rPr>
            </w:pPr>
            <w:r w:rsidRPr="003606AE">
              <w:rPr>
                <w:snapToGrid w:val="0"/>
                <w:sz w:val="18"/>
                <w:szCs w:val="18"/>
                <w:lang w:eastAsia="en-US"/>
              </w:rPr>
              <w:t>Blackpool, Fylde &amp; Wyre Society for the Blind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29.5</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35.5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Bootstrap Enterprise Ltd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(Highfield)</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p>
        </w:tc>
      </w:tr>
      <w:tr w:rsidR="003606AE"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(St Augustines)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14.4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3606AE"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rPr>
                <w:rFonts w:cs="Arial"/>
                <w:sz w:val="18"/>
                <w:szCs w:val="18"/>
              </w:rPr>
            </w:pPr>
            <w:r>
              <w:rPr>
                <w:rFonts w:cs="Arial"/>
                <w:sz w:val="18"/>
                <w:szCs w:val="18"/>
              </w:rPr>
              <w:t>Bulloughs (St Marys)</w:t>
            </w:r>
          </w:p>
        </w:tc>
        <w:tc>
          <w:tcPr>
            <w:tcW w:w="896"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87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Default="003606AE" w:rsidP="003606AE">
            <w:pPr>
              <w:autoSpaceDE w:val="0"/>
              <w:autoSpaceDN w:val="0"/>
              <w:adjustRightInd w:val="0"/>
              <w:jc w:val="center"/>
              <w:rPr>
                <w:rFonts w:cs="Arial"/>
                <w:sz w:val="18"/>
                <w:szCs w:val="18"/>
              </w:rPr>
            </w:pPr>
            <w:r>
              <w:rPr>
                <w:rFonts w:cs="Arial"/>
                <w:sz w:val="18"/>
                <w:szCs w:val="18"/>
              </w:rPr>
              <w:t>16.5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3606AE" w:rsidRPr="009A3AFE" w:rsidRDefault="003606AE" w:rsidP="00D25355">
            <w:pPr>
              <w:spacing w:before="60" w:after="60"/>
              <w:jc w:val="center"/>
              <w:rPr>
                <w:sz w:val="18"/>
                <w:szCs w:val="18"/>
                <w:highlight w:val="yellow"/>
              </w:rPr>
            </w:pPr>
          </w:p>
        </w:tc>
      </w:tr>
      <w:tr w:rsidR="00B51B16" w:rsidRPr="009A3AFE" w:rsidTr="00F6079E">
        <w:trPr>
          <w:cantSplit/>
          <w:trHeight w:val="397"/>
        </w:trPr>
        <w:tc>
          <w:tcPr>
            <w:tcW w:w="3168" w:type="dxa"/>
            <w:tcBorders>
              <w:top w:val="single" w:sz="4" w:space="0" w:color="auto"/>
              <w:left w:val="single" w:sz="4" w:space="0" w:color="auto"/>
              <w:right w:val="single" w:sz="4" w:space="0" w:color="auto"/>
            </w:tcBorders>
            <w:shd w:val="clear" w:color="auto" w:fill="F3F3F3"/>
          </w:tcPr>
          <w:p w:rsidR="00B51B16" w:rsidRPr="009A3AFE" w:rsidRDefault="00B51B16" w:rsidP="003606AE">
            <w:pPr>
              <w:rPr>
                <w:b/>
                <w:sz w:val="18"/>
                <w:highlight w:val="yellow"/>
              </w:rPr>
            </w:pPr>
          </w:p>
        </w:tc>
        <w:tc>
          <w:tcPr>
            <w:tcW w:w="1766"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ind w:left="-108"/>
              <w:jc w:val="center"/>
              <w:rPr>
                <w:b/>
                <w:color w:val="000000"/>
                <w:sz w:val="18"/>
              </w:rPr>
            </w:pPr>
            <w:r w:rsidRPr="00A92013">
              <w:rPr>
                <w:b/>
                <w:color w:val="000000"/>
                <w:sz w:val="18"/>
              </w:rPr>
              <w:t>2011/12</w:t>
            </w:r>
          </w:p>
        </w:tc>
        <w:tc>
          <w:tcPr>
            <w:tcW w:w="177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b/>
                <w:sz w:val="18"/>
              </w:rPr>
            </w:pPr>
            <w:r w:rsidRPr="00A92013">
              <w:rPr>
                <w:b/>
                <w:color w:val="000000"/>
                <w:sz w:val="18"/>
              </w:rPr>
              <w:t>2012/13</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B51B16">
            <w:pPr>
              <w:jc w:val="center"/>
              <w:rPr>
                <w:sz w:val="14"/>
                <w:szCs w:val="14"/>
              </w:rPr>
            </w:pPr>
            <w:r w:rsidRPr="00A92013">
              <w:rPr>
                <w:b/>
                <w:color w:val="000000"/>
                <w:sz w:val="18"/>
                <w:szCs w:val="18"/>
              </w:rPr>
              <w:t>Non-ill health early retirement allowance included for the 3 years 2011/14</w:t>
            </w:r>
          </w:p>
        </w:tc>
      </w:tr>
      <w:tr w:rsidR="00B51B16" w:rsidRPr="009A3AFE" w:rsidTr="00F6079E">
        <w:trPr>
          <w:cantSplit/>
          <w:trHeight w:val="397"/>
        </w:trPr>
        <w:tc>
          <w:tcPr>
            <w:tcW w:w="3168" w:type="dxa"/>
            <w:tcBorders>
              <w:left w:val="single" w:sz="4" w:space="0" w:color="auto"/>
              <w:bottom w:val="single" w:sz="4" w:space="0" w:color="auto"/>
              <w:right w:val="single" w:sz="4" w:space="0" w:color="auto"/>
            </w:tcBorders>
            <w:shd w:val="clear" w:color="auto" w:fill="F3F3F3"/>
            <w:vAlign w:val="center"/>
          </w:tcPr>
          <w:p w:rsidR="00B51B16" w:rsidRPr="009A3AFE" w:rsidRDefault="009227D1" w:rsidP="003606AE">
            <w:pPr>
              <w:rPr>
                <w:b/>
                <w:sz w:val="18"/>
                <w:highlight w:val="yellow"/>
              </w:rPr>
            </w:pPr>
            <w:r w:rsidRPr="009227D1">
              <w:rPr>
                <w:b/>
                <w:sz w:val="18"/>
              </w:rPr>
              <w:t>Employers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jc w:val="center"/>
              <w:rPr>
                <w:b/>
                <w:sz w:val="14"/>
              </w:rPr>
            </w:pPr>
            <w:r w:rsidRPr="00A92013">
              <w:rPr>
                <w:b/>
                <w:sz w:val="14"/>
              </w:rPr>
              <w:t>Individual Adjust-ment)</w:t>
            </w:r>
          </w:p>
          <w:p w:rsidR="00B51B16" w:rsidRPr="00A92013" w:rsidRDefault="00B51B16" w:rsidP="003606AE">
            <w:pPr>
              <w:jc w:val="center"/>
              <w:rPr>
                <w:b/>
                <w:sz w:val="14"/>
              </w:rPr>
            </w:pPr>
            <w:r>
              <w:rPr>
                <w:b/>
                <w:sz w:val="14"/>
              </w:rPr>
              <w:t>%</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jc w:val="center"/>
              <w:rPr>
                <w:b/>
                <w:sz w:val="14"/>
              </w:rPr>
            </w:pPr>
            <w:r w:rsidRPr="00A92013">
              <w:rPr>
                <w:b/>
                <w:sz w:val="14"/>
              </w:rPr>
              <w:t xml:space="preserve">Total Contribu-tion Rate </w:t>
            </w:r>
          </w:p>
          <w:p w:rsidR="00B51B16" w:rsidRPr="00A92013" w:rsidRDefault="00B51B16" w:rsidP="003606A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3606AE">
            <w:pPr>
              <w:jc w:val="center"/>
              <w:rPr>
                <w:b/>
                <w:sz w:val="14"/>
              </w:rPr>
            </w:pPr>
            <w:r w:rsidRPr="00A92013">
              <w:rPr>
                <w:b/>
                <w:sz w:val="14"/>
              </w:rPr>
              <w:t>Individual Adjust-ment</w:t>
            </w:r>
            <w:r w:rsidRPr="00A92013">
              <w:rPr>
                <w:b/>
                <w:sz w:val="14"/>
              </w:rPr>
              <w:br/>
            </w:r>
            <w:r>
              <w:rPr>
                <w:b/>
                <w:sz w:val="14"/>
              </w:rPr>
              <w:t>%</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jc w:val="center"/>
              <w:rPr>
                <w:b/>
                <w:sz w:val="14"/>
              </w:rPr>
            </w:pPr>
            <w:r w:rsidRPr="00A92013">
              <w:rPr>
                <w:b/>
                <w:sz w:val="14"/>
              </w:rPr>
              <w:t>Total Contribu-tion Rate</w:t>
            </w:r>
          </w:p>
          <w:p w:rsidR="00B51B16" w:rsidRPr="00A92013" w:rsidRDefault="00B51B16" w:rsidP="00B51B16">
            <w:pPr>
              <w:jc w:val="center"/>
              <w:rPr>
                <w:b/>
                <w:sz w:val="14"/>
              </w:rPr>
            </w:pPr>
            <w:r>
              <w:rPr>
                <w:b/>
                <w:sz w:val="14"/>
              </w:rPr>
              <w:t>%</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A92013" w:rsidRDefault="00B51B16" w:rsidP="003606A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3606AE">
            <w:pPr>
              <w:jc w:val="center"/>
              <w:rPr>
                <w:b/>
                <w:sz w:val="14"/>
              </w:rPr>
            </w:pPr>
            <w:r w:rsidRPr="00B51B16">
              <w:rPr>
                <w:b/>
                <w:sz w:val="14"/>
              </w:rPr>
              <w:t>Total Contribu-tion Rate</w:t>
            </w:r>
          </w:p>
          <w:p w:rsidR="00B51B16" w:rsidRPr="00B51B16" w:rsidRDefault="00B51B16" w:rsidP="003606A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227D1" w:rsidRDefault="00B51B16" w:rsidP="003606AE">
            <w:pPr>
              <w:jc w:val="center"/>
              <w:rPr>
                <w:b/>
                <w:sz w:val="14"/>
                <w:szCs w:val="14"/>
              </w:rPr>
            </w:pPr>
            <w:r w:rsidRPr="009227D1">
              <w:rPr>
                <w:b/>
                <w:sz w:val="14"/>
                <w:szCs w:val="14"/>
              </w:rPr>
              <w:t>Amount</w:t>
            </w:r>
            <w:r w:rsidRPr="009227D1">
              <w:rPr>
                <w:b/>
                <w:sz w:val="14"/>
                <w:szCs w:val="14"/>
              </w:rPr>
              <w:br/>
              <w:t>£</w:t>
            </w:r>
          </w:p>
        </w:tc>
      </w:tr>
      <w:tr w:rsidR="00B51B16" w:rsidRPr="009A3AFE" w:rsidTr="00F6079E">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3606AE" w:rsidRDefault="00B51B16" w:rsidP="00D25355">
            <w:pPr>
              <w:spacing w:before="60" w:after="60"/>
              <w:rPr>
                <w:snapToGrid w:val="0"/>
                <w:sz w:val="18"/>
                <w:szCs w:val="18"/>
                <w:lang w:eastAsia="en-US"/>
              </w:rPr>
            </w:pPr>
            <w:r w:rsidRPr="003606AE">
              <w:rPr>
                <w:snapToGrid w:val="0"/>
                <w:sz w:val="18"/>
                <w:szCs w:val="18"/>
                <w:lang w:eastAsia="en-US"/>
              </w:rPr>
              <w:t>Burnley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3606AE">
            <w:pPr>
              <w:autoSpaceDE w:val="0"/>
              <w:autoSpaceDN w:val="0"/>
              <w:adjustRightInd w:val="0"/>
              <w:jc w:val="center"/>
              <w:rPr>
                <w:rFonts w:cs="Arial"/>
                <w:sz w:val="18"/>
                <w:szCs w:val="18"/>
              </w:rPr>
            </w:pPr>
            <w:r>
              <w:rPr>
                <w:rFonts w:cs="Arial"/>
                <w:sz w:val="18"/>
                <w:szCs w:val="18"/>
              </w:rPr>
              <w:t>25.0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Burnley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rPr>
                <w:snapToGrid w:val="0"/>
                <w:sz w:val="18"/>
                <w:szCs w:val="18"/>
                <w:highlight w:val="yellow"/>
                <w:lang w:eastAsia="en-US"/>
              </w:rPr>
            </w:pPr>
            <w:r w:rsidRPr="00B51B16">
              <w:rPr>
                <w:snapToGrid w:val="0"/>
                <w:sz w:val="18"/>
                <w:szCs w:val="18"/>
                <w:lang w:eastAsia="en-US"/>
              </w:rPr>
              <w:t>Calico Housing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CAPITA</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28.5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rPr>
                <w:rFonts w:cs="Arial"/>
                <w:sz w:val="18"/>
                <w:szCs w:val="18"/>
              </w:rPr>
            </w:pPr>
            <w:r>
              <w:rPr>
                <w:rFonts w:cs="Arial"/>
                <w:sz w:val="18"/>
                <w:szCs w:val="18"/>
              </w:rPr>
              <w:t>Capita (</w:t>
            </w:r>
            <w:smartTag w:uri="urn:schemas-microsoft-com:office:smarttags" w:element="place">
              <w:smartTag w:uri="urn:schemas-microsoft-com:office:smarttags" w:element="City">
                <w:r>
                  <w:rPr>
                    <w:rFonts w:cs="Arial"/>
                    <w:sz w:val="18"/>
                    <w:szCs w:val="18"/>
                  </w:rPr>
                  <w:t>Rossendale</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4.6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17.1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B51B16" w:rsidRDefault="00B51B16" w:rsidP="00D25355">
            <w:pPr>
              <w:spacing w:before="60" w:after="60"/>
              <w:rPr>
                <w:snapToGrid w:val="0"/>
                <w:sz w:val="18"/>
                <w:szCs w:val="18"/>
                <w:lang w:eastAsia="en-US"/>
              </w:rPr>
            </w:pPr>
            <w:r w:rsidRPr="00B51B16">
              <w:rPr>
                <w:snapToGrid w:val="0"/>
                <w:sz w:val="18"/>
                <w:szCs w:val="18"/>
                <w:lang w:eastAsia="en-US"/>
              </w:rPr>
              <w:t>Cardinal Newman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rPr>
                <w:rFonts w:cs="Arial"/>
                <w:sz w:val="18"/>
                <w:szCs w:val="18"/>
              </w:rPr>
            </w:pPr>
            <w:r>
              <w:rPr>
                <w:rFonts w:cs="Arial"/>
                <w:sz w:val="18"/>
                <w:szCs w:val="18"/>
              </w:rPr>
              <w:t>Caritas Care Ltd (was Catholic Caring Services)</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B51B16">
            <w:pPr>
              <w:autoSpaceDE w:val="0"/>
              <w:autoSpaceDN w:val="0"/>
              <w:adjustRightInd w:val="0"/>
              <w:jc w:val="center"/>
              <w:rPr>
                <w:rFonts w:cs="Arial"/>
                <w:sz w:val="18"/>
                <w:szCs w:val="18"/>
              </w:rPr>
            </w:pPr>
            <w:r>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9A3AFE" w:rsidRDefault="00B51B16" w:rsidP="00D25355">
            <w:pPr>
              <w:spacing w:before="60" w:after="60"/>
              <w:jc w:val="center"/>
              <w:rPr>
                <w:sz w:val="18"/>
                <w:szCs w:val="18"/>
                <w:highlight w:val="yellow"/>
              </w:rPr>
            </w:pPr>
          </w:p>
        </w:tc>
      </w:tr>
      <w:tr w:rsidR="00B51B16"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5A09E8" w:rsidRDefault="00B51B16" w:rsidP="005A09E8">
            <w:pPr>
              <w:rPr>
                <w:rFonts w:cs="Arial"/>
                <w:sz w:val="18"/>
                <w:szCs w:val="18"/>
              </w:rPr>
            </w:pPr>
            <w:r w:rsidRPr="005A09E8">
              <w:rPr>
                <w:rFonts w:cs="Arial"/>
                <w:sz w:val="18"/>
                <w:szCs w:val="18"/>
              </w:rPr>
              <w:t>Catterall Parish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Default="00B51B16" w:rsidP="005A09E8">
            <w:pPr>
              <w:autoSpaceDE w:val="0"/>
              <w:autoSpaceDN w:val="0"/>
              <w:adjustRightInd w:val="0"/>
              <w:jc w:val="center"/>
              <w:rPr>
                <w:rFonts w:cs="Arial"/>
                <w:sz w:val="18"/>
                <w:szCs w:val="18"/>
              </w:rPr>
            </w:pPr>
            <w:r>
              <w:rPr>
                <w:rFonts w:cs="Arial"/>
                <w:sz w:val="18"/>
                <w:szCs w:val="18"/>
              </w:rPr>
              <w:t>14.8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B51B16" w:rsidRPr="005A09E8" w:rsidRDefault="00B51B16"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Chorley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6.8</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Chorley Community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highlight w:val="yellow"/>
              </w:rPr>
            </w:pPr>
            <w:r w:rsidRPr="005A09E8">
              <w:rPr>
                <w:rFonts w:cs="Arial"/>
                <w:sz w:val="18"/>
                <w:szCs w:val="18"/>
              </w:rPr>
              <w:t>Church Road Methodist Day Centre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6.7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19.8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rPr>
                <w:rFonts w:cs="Arial"/>
                <w:sz w:val="18"/>
                <w:szCs w:val="18"/>
              </w:rPr>
            </w:pPr>
            <w:r w:rsidRPr="005A09E8">
              <w:rPr>
                <w:rFonts w:cs="Arial"/>
                <w:sz w:val="18"/>
                <w:szCs w:val="18"/>
              </w:rPr>
              <w:t>Commission for Education &amp; Formation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jc w:val="center"/>
              <w:rPr>
                <w:rFonts w:cs="Arial"/>
                <w:sz w:val="18"/>
                <w:szCs w:val="18"/>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Community Council of Lancashire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20.8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Community Gateway Association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1.7</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Connaught Environmental (</w:t>
            </w:r>
            <w:smartTag w:uri="urn:schemas-microsoft-com:office:smarttags" w:element="place">
              <w:smartTag w:uri="urn:schemas-microsoft-com:office:smarttags" w:element="City">
                <w:r>
                  <w:rPr>
                    <w:rFonts w:cs="Arial"/>
                    <w:sz w:val="18"/>
                    <w:szCs w:val="18"/>
                  </w:rPr>
                  <w:t>Blackpool</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8.6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Connaught Environmental (</w:t>
            </w:r>
            <w:smartTag w:uri="urn:schemas-microsoft-com:office:smarttags" w:element="place">
              <w:r>
                <w:rPr>
                  <w:rFonts w:cs="Arial"/>
                  <w:sz w:val="18"/>
                  <w:szCs w:val="18"/>
                </w:rPr>
                <w:t>Blackpool</w:t>
              </w:r>
            </w:smartTag>
            <w:r>
              <w:rPr>
                <w:rFonts w:cs="Arial"/>
                <w:sz w:val="18"/>
                <w:szCs w:val="18"/>
              </w:rPr>
              <w:t xml:space="preserve"> Coastal Housing)</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13.0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Consultant Caterers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5A09E8" w:rsidRDefault="005A09E8" w:rsidP="005A09E8">
            <w:pPr>
              <w:spacing w:before="60" w:after="60"/>
              <w:rPr>
                <w:snapToGrid w:val="0"/>
                <w:sz w:val="18"/>
                <w:szCs w:val="18"/>
                <w:lang w:eastAsia="en-US"/>
              </w:rPr>
            </w:pPr>
            <w:r w:rsidRPr="005A09E8">
              <w:rPr>
                <w:snapToGrid w:val="0"/>
                <w:sz w:val="18"/>
                <w:szCs w:val="18"/>
                <w:lang w:eastAsia="en-US"/>
              </w:rPr>
              <w:t>Contour Housing Association</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5A09E8"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rPr>
                <w:rFonts w:cs="Arial"/>
                <w:sz w:val="18"/>
                <w:szCs w:val="18"/>
              </w:rPr>
            </w:pPr>
            <w:r>
              <w:rPr>
                <w:rFonts w:cs="Arial"/>
                <w:sz w:val="18"/>
                <w:szCs w:val="18"/>
              </w:rPr>
              <w:t>Creative Support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Default="005A09E8" w:rsidP="005A09E8">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5A09E8" w:rsidRPr="009A3AFE" w:rsidRDefault="005A09E8"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z w:val="18"/>
                <w:szCs w:val="18"/>
              </w:rPr>
            </w:pPr>
            <w:r w:rsidRPr="009227D1">
              <w:rPr>
                <w:sz w:val="18"/>
                <w:szCs w:val="18"/>
              </w:rPr>
              <w:t>CXL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z w:val="18"/>
                <w:szCs w:val="18"/>
              </w:rPr>
            </w:pPr>
            <w:r w:rsidRPr="009227D1">
              <w:rPr>
                <w:sz w:val="18"/>
                <w:szCs w:val="18"/>
              </w:rPr>
              <w:t>Danfo (</w:t>
            </w:r>
            <w:smartTag w:uri="urn:schemas-microsoft-com:office:smarttags" w:element="place">
              <w:smartTag w:uri="urn:schemas-microsoft-com:office:smarttags" w:element="country-region">
                <w:r w:rsidRPr="009227D1">
                  <w:rPr>
                    <w:sz w:val="18"/>
                    <w:szCs w:val="18"/>
                  </w:rPr>
                  <w:t>UK</w:t>
                </w:r>
              </w:smartTag>
            </w:smartTag>
            <w:r w:rsidRPr="009227D1">
              <w:rPr>
                <w:sz w:val="18"/>
                <w:szCs w:val="18"/>
              </w:rPr>
              <w:t>)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smartTag w:uri="urn:schemas-microsoft-com:office:smarttags" w:element="place">
              <w:smartTag w:uri="urn:schemas-microsoft-com:office:smarttags" w:element="PlaceName">
                <w:r>
                  <w:rPr>
                    <w:rFonts w:cs="Arial"/>
                    <w:sz w:val="18"/>
                    <w:szCs w:val="18"/>
                  </w:rPr>
                  <w:t>Darwen</w:t>
                </w:r>
              </w:smartTag>
              <w:r>
                <w:rPr>
                  <w:rFonts w:cs="Arial"/>
                  <w:sz w:val="18"/>
                  <w:szCs w:val="18"/>
                </w:rPr>
                <w:t xml:space="preserve"> </w:t>
              </w:r>
              <w:smartTag w:uri="urn:schemas-microsoft-com:office:smarttags" w:element="PlaceName">
                <w:r>
                  <w:rPr>
                    <w:rFonts w:cs="Arial"/>
                    <w:sz w:val="18"/>
                    <w:szCs w:val="18"/>
                  </w:rPr>
                  <w:t>Aldridge</w:t>
                </w:r>
              </w:smartTag>
              <w:r>
                <w:rPr>
                  <w:rFonts w:cs="Arial"/>
                  <w:sz w:val="18"/>
                  <w:szCs w:val="18"/>
                </w:rPr>
                <w:t xml:space="preserve"> </w:t>
              </w:r>
              <w:smartTag w:uri="urn:schemas-microsoft-com:office:smarttags" w:element="PlaceName">
                <w:r>
                  <w:rPr>
                    <w:rFonts w:cs="Arial"/>
                    <w:sz w:val="18"/>
                    <w:szCs w:val="18"/>
                  </w:rPr>
                  <w:t>Community</w:t>
                </w:r>
              </w:smartTag>
              <w:r>
                <w:rPr>
                  <w:rFonts w:cs="Arial"/>
                  <w:sz w:val="18"/>
                  <w:szCs w:val="18"/>
                </w:rPr>
                <w:t xml:space="preserve"> </w:t>
              </w:r>
              <w:smartTag w:uri="urn:schemas-microsoft-com:office:smarttags" w:element="PlaceType">
                <w:r>
                  <w:rPr>
                    <w:rFonts w:cs="Arial"/>
                    <w:sz w:val="18"/>
                    <w:szCs w:val="18"/>
                  </w:rPr>
                  <w:t>Academy</w:t>
                </w:r>
              </w:smartTag>
            </w:smartTag>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r>
              <w:rPr>
                <w:rFonts w:cs="Arial"/>
                <w:sz w:val="18"/>
                <w:szCs w:val="18"/>
              </w:rPr>
              <w:t>E ON UK Plc</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Edge Hill University College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1.5</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14.5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Enterprise Managed Services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1.1</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2.4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14.9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91505" w:rsidRDefault="009227D1" w:rsidP="009227D1">
            <w:pPr>
              <w:autoSpaceDE w:val="0"/>
              <w:autoSpaceDN w:val="0"/>
              <w:adjustRightInd w:val="0"/>
              <w:jc w:val="center"/>
              <w:rPr>
                <w:rFonts w:cs="Arial"/>
                <w:sz w:val="18"/>
                <w:szCs w:val="18"/>
              </w:rPr>
            </w:pPr>
            <w:r w:rsidRPr="00F91505">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Eric Wright Commercial Ltd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17.9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smartTag w:uri="urn:schemas-microsoft-com:office:smarttags" w:element="place">
              <w:smartTag w:uri="urn:schemas-microsoft-com:office:smarttags" w:element="PlaceName">
                <w:r>
                  <w:rPr>
                    <w:rFonts w:cs="Arial"/>
                    <w:sz w:val="18"/>
                    <w:szCs w:val="18"/>
                  </w:rPr>
                  <w:t>Fulwood</w:t>
                </w:r>
              </w:smartTag>
              <w:r>
                <w:rPr>
                  <w:rFonts w:cs="Arial"/>
                  <w:sz w:val="18"/>
                  <w:szCs w:val="18"/>
                </w:rPr>
                <w:t xml:space="preserve"> </w:t>
              </w:r>
              <w:smartTag w:uri="urn:schemas-microsoft-com:office:smarttags" w:element="PlaceType">
                <w:r>
                  <w:rPr>
                    <w:rFonts w:cs="Arial"/>
                    <w:sz w:val="18"/>
                    <w:szCs w:val="18"/>
                  </w:rPr>
                  <w:t>Academy</w:t>
                </w:r>
              </w:smartTag>
            </w:smartTag>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227D1" w:rsidRDefault="009227D1" w:rsidP="005A09E8">
            <w:pPr>
              <w:spacing w:before="60" w:after="60"/>
              <w:rPr>
                <w:snapToGrid w:val="0"/>
                <w:sz w:val="18"/>
                <w:szCs w:val="18"/>
                <w:lang w:eastAsia="en-US"/>
              </w:rPr>
            </w:pPr>
            <w:r w:rsidRPr="009227D1">
              <w:rPr>
                <w:snapToGrid w:val="0"/>
                <w:sz w:val="18"/>
                <w:szCs w:val="18"/>
                <w:lang w:eastAsia="en-US"/>
              </w:rPr>
              <w:t>Fylde Borough Council</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7.0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8.3</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20.8</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9227D1" w:rsidRPr="009A3AFE" w:rsidTr="00B51B16">
        <w:trPr>
          <w:cantSplit/>
          <w:trHeight w:val="397"/>
        </w:trPr>
        <w:tc>
          <w:tcPr>
            <w:tcW w:w="316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rPr>
                <w:rFonts w:cs="Arial"/>
                <w:sz w:val="18"/>
                <w:szCs w:val="18"/>
              </w:rPr>
            </w:pPr>
            <w:r>
              <w:rPr>
                <w:rFonts w:cs="Arial"/>
                <w:sz w:val="18"/>
                <w:szCs w:val="18"/>
              </w:rPr>
              <w:t>Fylde Coast YMCA (Fylde)</w:t>
            </w:r>
          </w:p>
        </w:tc>
        <w:tc>
          <w:tcPr>
            <w:tcW w:w="993"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773"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908"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83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bl>
    <w:p w:rsidR="00B8085C" w:rsidRPr="009A3AFE" w:rsidRDefault="00B8085C" w:rsidP="00B8085C">
      <w:pPr>
        <w:spacing w:before="240"/>
        <w:rPr>
          <w:sz w:val="16"/>
          <w:highlight w:val="yellow"/>
        </w:rPr>
      </w:pPr>
    </w:p>
    <w:tbl>
      <w:tblPr>
        <w:tblpPr w:leftFromText="180" w:rightFromText="180" w:vertAnchor="text" w:horzAnchor="margin" w:tblpY="333"/>
        <w:tblW w:w="10286" w:type="dxa"/>
        <w:shd w:val="clear" w:color="auto" w:fill="F3F3F3"/>
        <w:tblLayout w:type="fixed"/>
        <w:tblLook w:val="0000"/>
      </w:tblPr>
      <w:tblGrid>
        <w:gridCol w:w="3194"/>
        <w:gridCol w:w="870"/>
        <w:gridCol w:w="870"/>
        <w:gridCol w:w="870"/>
        <w:gridCol w:w="870"/>
        <w:gridCol w:w="870"/>
        <w:gridCol w:w="870"/>
        <w:gridCol w:w="1872"/>
      </w:tblGrid>
      <w:tr w:rsidR="009227D1" w:rsidRPr="009A3AFE" w:rsidTr="00F6079E">
        <w:trPr>
          <w:cantSplit/>
          <w:trHeight w:val="835"/>
        </w:trPr>
        <w:tc>
          <w:tcPr>
            <w:tcW w:w="3194" w:type="dxa"/>
            <w:tcBorders>
              <w:top w:val="single" w:sz="4" w:space="0" w:color="auto"/>
              <w:left w:val="single" w:sz="4" w:space="0" w:color="auto"/>
              <w:right w:val="single" w:sz="4" w:space="0" w:color="auto"/>
            </w:tcBorders>
            <w:shd w:val="clear" w:color="auto" w:fill="F3F3F3"/>
          </w:tcPr>
          <w:p w:rsidR="009227D1" w:rsidRPr="009A3AFE" w:rsidRDefault="009227D1" w:rsidP="009227D1">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sz w:val="14"/>
                <w:szCs w:val="14"/>
              </w:rPr>
            </w:pPr>
            <w:r w:rsidRPr="00A92013">
              <w:rPr>
                <w:b/>
                <w:color w:val="000000"/>
                <w:sz w:val="18"/>
                <w:szCs w:val="18"/>
              </w:rPr>
              <w:t>Non-ill health early retirement allowance included for the 3 years 2011/14</w:t>
            </w:r>
          </w:p>
        </w:tc>
      </w:tr>
      <w:tr w:rsidR="009227D1" w:rsidRPr="009A3AFE" w:rsidTr="00F6079E">
        <w:trPr>
          <w:cantSplit/>
          <w:trHeight w:val="835"/>
        </w:trPr>
        <w:tc>
          <w:tcPr>
            <w:tcW w:w="3194" w:type="dxa"/>
            <w:tcBorders>
              <w:left w:val="single" w:sz="4" w:space="0" w:color="auto"/>
              <w:bottom w:val="single" w:sz="4" w:space="0" w:color="auto"/>
              <w:right w:val="single" w:sz="4" w:space="0" w:color="auto"/>
            </w:tcBorders>
            <w:shd w:val="clear" w:color="auto" w:fill="F3F3F3"/>
            <w:vAlign w:val="center"/>
          </w:tcPr>
          <w:p w:rsidR="009227D1" w:rsidRPr="009A3AFE" w:rsidRDefault="009227D1" w:rsidP="009227D1">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Individual Adjust-ment)</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 xml:space="preserve">Total Contribu-tion Rate </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jc w:val="center"/>
              <w:rPr>
                <w:b/>
                <w:sz w:val="14"/>
              </w:rPr>
            </w:pPr>
            <w:r w:rsidRPr="00A92013">
              <w:rPr>
                <w:b/>
                <w:sz w:val="14"/>
              </w:rPr>
              <w:t>Total Contribu-tion Rate</w:t>
            </w:r>
          </w:p>
          <w:p w:rsidR="009227D1" w:rsidRPr="00A92013" w:rsidRDefault="009227D1" w:rsidP="009227D1">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A92013" w:rsidRDefault="009227D1" w:rsidP="009227D1">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B51B16" w:rsidRDefault="009227D1" w:rsidP="009227D1">
            <w:pPr>
              <w:jc w:val="center"/>
              <w:rPr>
                <w:b/>
                <w:sz w:val="14"/>
              </w:rPr>
            </w:pPr>
            <w:r w:rsidRPr="00B51B16">
              <w:rPr>
                <w:b/>
                <w:sz w:val="14"/>
              </w:rPr>
              <w:t>Total Contribu-tion Rate</w:t>
            </w:r>
          </w:p>
          <w:p w:rsidR="009227D1" w:rsidRPr="00B51B16" w:rsidRDefault="009227D1" w:rsidP="009227D1">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F6079E" w:rsidRDefault="009227D1" w:rsidP="009227D1">
            <w:pPr>
              <w:jc w:val="center"/>
              <w:rPr>
                <w:b/>
                <w:sz w:val="14"/>
                <w:szCs w:val="14"/>
              </w:rPr>
            </w:pPr>
            <w:r w:rsidRPr="00F6079E">
              <w:rPr>
                <w:b/>
                <w:sz w:val="14"/>
                <w:szCs w:val="14"/>
              </w:rPr>
              <w:t>Amount</w:t>
            </w:r>
            <w:r w:rsidRPr="00F6079E">
              <w:rPr>
                <w:b/>
                <w:sz w:val="14"/>
                <w:szCs w:val="14"/>
              </w:rPr>
              <w:br/>
              <w:t>£</w:t>
            </w:r>
          </w:p>
        </w:tc>
      </w:tr>
      <w:tr w:rsidR="009227D1" w:rsidRPr="009A3AFE" w:rsidTr="00F6079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9227D1">
            <w:pPr>
              <w:spacing w:before="60" w:after="60"/>
              <w:rPr>
                <w:snapToGrid w:val="0"/>
                <w:sz w:val="18"/>
                <w:szCs w:val="18"/>
                <w:highlight w:val="yellow"/>
                <w:lang w:eastAsia="en-US"/>
              </w:rPr>
            </w:pPr>
            <w:r w:rsidRPr="009227D1">
              <w:rPr>
                <w:snapToGrid w:val="0"/>
                <w:sz w:val="18"/>
                <w:szCs w:val="18"/>
                <w:lang w:eastAsia="en-US"/>
              </w:rPr>
              <w:t>Fylde Community Link</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Default="009227D1" w:rsidP="009227D1">
            <w:pPr>
              <w:autoSpaceDE w:val="0"/>
              <w:autoSpaceDN w:val="0"/>
              <w:adjustRightInd w:val="0"/>
              <w:jc w:val="center"/>
              <w:rPr>
                <w:rFonts w:cs="Arial"/>
                <w:sz w:val="18"/>
                <w:szCs w:val="18"/>
              </w:rPr>
            </w:pPr>
            <w:r>
              <w:rPr>
                <w:rFonts w:cs="Arial"/>
                <w:sz w:val="18"/>
                <w:szCs w:val="18"/>
              </w:rPr>
              <w:t>16.8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9227D1" w:rsidRPr="009A3AFE" w:rsidRDefault="009227D1" w:rsidP="005A09E8">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6079E" w:rsidRDefault="00F6079E" w:rsidP="009227D1">
            <w:pPr>
              <w:spacing w:before="60" w:after="60"/>
              <w:rPr>
                <w:snapToGrid w:val="0"/>
                <w:sz w:val="18"/>
                <w:szCs w:val="18"/>
                <w:lang w:eastAsia="en-US"/>
              </w:rPr>
            </w:pPr>
            <w:r w:rsidRPr="00F6079E">
              <w:rPr>
                <w:snapToGrid w:val="0"/>
                <w:sz w:val="18"/>
                <w:szCs w:val="18"/>
                <w:lang w:eastAsia="en-US"/>
              </w:rPr>
              <w:t>Galloways Society for the Blind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5A09E8">
            <w:pPr>
              <w:spacing w:before="60" w:after="60"/>
              <w:jc w:val="center"/>
              <w:rPr>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Garstang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Housing Pendle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Hyndburn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Hyndburn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I Care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Kirkham</w:t>
                </w:r>
              </w:smartTag>
              <w:r>
                <w:rPr>
                  <w:rFonts w:cs="Arial"/>
                  <w:sz w:val="18"/>
                  <w:szCs w:val="18"/>
                </w:rPr>
                <w:t xml:space="preserve"> </w:t>
              </w:r>
              <w:smartTag w:uri="urn:schemas-microsoft-com:office:smarttags" w:element="PlaceType">
                <w:r>
                  <w:rPr>
                    <w:rFonts w:cs="Arial"/>
                    <w:sz w:val="18"/>
                    <w:szCs w:val="18"/>
                  </w:rPr>
                  <w:t>Grammar School</w:t>
                </w:r>
              </w:smartTag>
            </w:smartTag>
            <w:r>
              <w:rPr>
                <w:rFonts w:cs="Arial"/>
                <w:sz w:val="18"/>
                <w:szCs w:val="18"/>
              </w:rPr>
              <w:t xml:space="preserve">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City">
                <w:r>
                  <w:rPr>
                    <w:rFonts w:cs="Arial"/>
                    <w:sz w:val="18"/>
                    <w:szCs w:val="18"/>
                  </w:rPr>
                  <w:t>Kirkland</w:t>
                </w:r>
              </w:smartTag>
            </w:smartTag>
            <w:r>
              <w:rPr>
                <w:rFonts w:cs="Arial"/>
                <w:sz w:val="18"/>
                <w:szCs w:val="18"/>
              </w:rPr>
              <w:t xml:space="preserve">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Lancashire &amp; Blackpool Tourist Board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Lancashire </w:t>
            </w:r>
            <w:smartTag w:uri="urn:schemas-microsoft-com:office:smarttags" w:element="place">
              <w:smartTag w:uri="urn:schemas-microsoft-com:office:smarttags" w:element="PlaceType">
                <w:r>
                  <w:rPr>
                    <w:rFonts w:cs="Arial"/>
                    <w:sz w:val="18"/>
                    <w:szCs w:val="18"/>
                  </w:rPr>
                  <w:t>County</w:t>
                </w:r>
              </w:smartTag>
              <w:r>
                <w:rPr>
                  <w:rFonts w:cs="Arial"/>
                  <w:sz w:val="18"/>
                  <w:szCs w:val="18"/>
                </w:rPr>
                <w:t xml:space="preserve"> </w:t>
              </w:r>
              <w:smartTag w:uri="urn:schemas-microsoft-com:office:smarttags" w:element="PlaceName">
                <w:r>
                  <w:rPr>
                    <w:rFonts w:cs="Arial"/>
                    <w:sz w:val="18"/>
                    <w:szCs w:val="18"/>
                  </w:rPr>
                  <w:t>Branch</w:t>
                </w:r>
              </w:smartTag>
            </w:smartTag>
            <w:r>
              <w:rPr>
                <w:rFonts w:cs="Arial"/>
                <w:sz w:val="18"/>
                <w:szCs w:val="18"/>
              </w:rPr>
              <w:t xml:space="preserve"> Unison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County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Fire &amp; Rescue Service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£199,000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Police Authority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£450,500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Lancashire</w:t>
              </w:r>
            </w:smartTag>
            <w:r>
              <w:rPr>
                <w:rFonts w:cs="Arial"/>
                <w:sz w:val="18"/>
                <w:szCs w:val="18"/>
              </w:rPr>
              <w:t xml:space="preserve"> Probation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smartTag w:uri="urn:schemas-microsoft-com:office:smarttags" w:element="place">
              <w:smartTag w:uri="urn:schemas-microsoft-com:office:smarttags" w:element="PlaceName">
                <w:r w:rsidRPr="00F91505">
                  <w:rPr>
                    <w:rFonts w:cs="Arial"/>
                    <w:sz w:val="18"/>
                    <w:szCs w:val="18"/>
                  </w:rPr>
                  <w:t>Lancaster &amp; Morecambe</w:t>
                </w:r>
              </w:smartTag>
              <w:r w:rsidRPr="00F91505">
                <w:rPr>
                  <w:rFonts w:cs="Arial"/>
                  <w:sz w:val="18"/>
                  <w:szCs w:val="18"/>
                </w:rPr>
                <w:t xml:space="preserve"> </w:t>
              </w:r>
              <w:smartTag w:uri="urn:schemas-microsoft-com:office:smarttags" w:element="PlaceType">
                <w:r w:rsidRPr="00F91505">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16.6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rPr>
                <w:rFonts w:cs="Arial"/>
                <w:sz w:val="18"/>
                <w:szCs w:val="18"/>
              </w:rPr>
            </w:pPr>
            <w:r w:rsidRPr="00F91505">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City">
                <w:r>
                  <w:rPr>
                    <w:rFonts w:cs="Arial"/>
                    <w:sz w:val="18"/>
                    <w:szCs w:val="18"/>
                  </w:rPr>
                  <w:t>Lancaster</w:t>
                </w:r>
              </w:smartTag>
            </w:smartTag>
            <w:r>
              <w:rPr>
                <w:rFonts w:cs="Arial"/>
                <w:sz w:val="18"/>
                <w:szCs w:val="18"/>
              </w:rPr>
              <w:t xml:space="preserve">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Lancaster</w:t>
                </w:r>
              </w:smartTag>
              <w:r>
                <w:rPr>
                  <w:rFonts w:cs="Arial"/>
                  <w:sz w:val="18"/>
                  <w:szCs w:val="18"/>
                </w:rPr>
                <w:t xml:space="preserve"> </w:t>
              </w:r>
              <w:smartTag w:uri="urn:schemas-microsoft-com:office:smarttags" w:element="PlaceType">
                <w:r>
                  <w:rPr>
                    <w:rFonts w:cs="Arial"/>
                    <w:sz w:val="18"/>
                    <w:szCs w:val="18"/>
                  </w:rPr>
                  <w:t>University</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Leisure in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 xml:space="preserve">  </w:t>
            </w: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Liberata</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Liberata UK Ltd (</w:t>
            </w:r>
            <w:smartTag w:uri="urn:schemas-microsoft-com:office:smarttags" w:element="place">
              <w:r>
                <w:rPr>
                  <w:rFonts w:cs="Arial"/>
                  <w:sz w:val="18"/>
                  <w:szCs w:val="18"/>
                </w:rPr>
                <w:t>Chorley</w:t>
              </w:r>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Lytham Schools Foundation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Mellor's (formerly Wyre)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14.2</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Mellor's Catering (Cardinal Newman)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Myerscough</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Nelson and </w:t>
            </w:r>
            <w:smartTag w:uri="urn:schemas-microsoft-com:office:smarttags" w:element="place">
              <w:smartTag w:uri="urn:schemas-microsoft-com:office:smarttags" w:element="PlaceName">
                <w:r>
                  <w:rPr>
                    <w:rFonts w:cs="Arial"/>
                    <w:sz w:val="18"/>
                    <w:szCs w:val="18"/>
                  </w:rPr>
                  <w:t>Colne</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New Fylde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42.3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54.8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r w:rsidR="00F6079E" w:rsidRPr="009A3AFE" w:rsidTr="0046029E">
        <w:trPr>
          <w:cantSplit/>
          <w:trHeight w:val="552"/>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New Progress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9227D1">
            <w:pPr>
              <w:spacing w:before="60" w:after="60"/>
              <w:jc w:val="center"/>
              <w:rPr>
                <w:color w:val="3366FF"/>
                <w:sz w:val="18"/>
                <w:szCs w:val="18"/>
                <w:highlight w:val="yellow"/>
              </w:rPr>
            </w:pPr>
          </w:p>
        </w:tc>
      </w:tr>
    </w:tbl>
    <w:p w:rsidR="007D4ABB" w:rsidRPr="009A3AFE" w:rsidRDefault="007D4ABB" w:rsidP="00B8085C">
      <w:pPr>
        <w:spacing w:before="240"/>
        <w:rPr>
          <w:sz w:val="16"/>
          <w:highlight w:val="yellow"/>
        </w:rPr>
      </w:pPr>
    </w:p>
    <w:p w:rsidR="009227D1" w:rsidRDefault="009227D1"/>
    <w:p w:rsidR="009227D1" w:rsidRDefault="009227D1"/>
    <w:tbl>
      <w:tblPr>
        <w:tblpPr w:leftFromText="180" w:rightFromText="180" w:vertAnchor="page" w:horzAnchor="margin" w:tblpY="905"/>
        <w:tblW w:w="10286" w:type="dxa"/>
        <w:shd w:val="clear" w:color="auto" w:fill="F3F3F3"/>
        <w:tblLayout w:type="fixed"/>
        <w:tblLook w:val="0000"/>
      </w:tblPr>
      <w:tblGrid>
        <w:gridCol w:w="3194"/>
        <w:gridCol w:w="870"/>
        <w:gridCol w:w="870"/>
        <w:gridCol w:w="870"/>
        <w:gridCol w:w="870"/>
        <w:gridCol w:w="870"/>
        <w:gridCol w:w="870"/>
        <w:gridCol w:w="1872"/>
      </w:tblGrid>
      <w:tr w:rsidR="00F6079E" w:rsidRPr="009A3AFE" w:rsidTr="009227D1">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9A3AFE" w:rsidRDefault="00F6079E" w:rsidP="00F6079E">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A92013">
              <w:rPr>
                <w:b/>
                <w:color w:val="000000"/>
                <w:sz w:val="18"/>
                <w:szCs w:val="18"/>
              </w:rPr>
              <w:t>Non-ill health early retirement allowance included for the 3 years 2011/14</w:t>
            </w:r>
          </w:p>
        </w:tc>
      </w:tr>
      <w:tr w:rsidR="00F6079E" w:rsidRPr="009A3AFE"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9A3AFE" w:rsidRDefault="00F6079E" w:rsidP="00F6079E">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Individual Adjust-ment)</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 xml:space="preserve">Total Contribu-tion Rate </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Total Contribu-tion Rate</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B51B16" w:rsidRDefault="00F6079E" w:rsidP="00F6079E">
            <w:pPr>
              <w:jc w:val="center"/>
              <w:rPr>
                <w:b/>
                <w:sz w:val="14"/>
              </w:rPr>
            </w:pPr>
            <w:r w:rsidRPr="00B51B16">
              <w:rPr>
                <w:b/>
                <w:sz w:val="14"/>
              </w:rPr>
              <w:t>Total Contribu-tion Rate</w:t>
            </w:r>
          </w:p>
          <w:p w:rsidR="00F6079E" w:rsidRPr="00B51B16" w:rsidRDefault="00F6079E" w:rsidP="00F6079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6079E" w:rsidRDefault="00F6079E" w:rsidP="00F6079E">
            <w:pPr>
              <w:jc w:val="center"/>
              <w:rPr>
                <w:b/>
                <w:sz w:val="14"/>
                <w:szCs w:val="14"/>
              </w:rPr>
            </w:pPr>
            <w:r w:rsidRPr="00F6079E">
              <w:rPr>
                <w:b/>
                <w:sz w:val="14"/>
                <w:szCs w:val="14"/>
              </w:rPr>
              <w:t>Amount</w:t>
            </w:r>
            <w:r w:rsidRPr="00F6079E">
              <w:rPr>
                <w:b/>
                <w:sz w:val="14"/>
                <w:szCs w:val="14"/>
              </w:rPr>
              <w:br/>
              <w:t>£</w:t>
            </w: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 xml:space="preserve">NHS PCT </w:t>
            </w:r>
            <w:smartTag w:uri="urn:schemas-microsoft-com:office:smarttags" w:element="place">
              <w:r>
                <w:rPr>
                  <w:rFonts w:cs="Arial"/>
                  <w:sz w:val="18"/>
                  <w:szCs w:val="18"/>
                </w:rPr>
                <w:t>Blackburn</w:t>
              </w:r>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NIC Services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North</w:t>
                </w:r>
              </w:smartTag>
              <w:r>
                <w:rPr>
                  <w:rFonts w:cs="Arial"/>
                  <w:sz w:val="18"/>
                  <w:szCs w:val="18"/>
                </w:rPr>
                <w:t xml:space="preserve"> </w:t>
              </w:r>
              <w:smartTag w:uri="urn:schemas-microsoft-com:office:smarttags" w:element="PlaceName">
                <w:r>
                  <w:rPr>
                    <w:rFonts w:cs="Arial"/>
                    <w:sz w:val="18"/>
                    <w:szCs w:val="18"/>
                  </w:rPr>
                  <w:t>Western &amp; North</w:t>
                </w:r>
              </w:smartTag>
              <w:r>
                <w:rPr>
                  <w:rFonts w:cs="Arial"/>
                  <w:sz w:val="18"/>
                  <w:szCs w:val="18"/>
                </w:rPr>
                <w:t xml:space="preserve"> </w:t>
              </w:r>
              <w:smartTag w:uri="urn:schemas-microsoft-com:office:smarttags" w:element="PlaceName">
                <w:r>
                  <w:rPr>
                    <w:rFonts w:cs="Arial"/>
                    <w:sz w:val="18"/>
                    <w:szCs w:val="18"/>
                  </w:rPr>
                  <w:t>Wales</w:t>
                </w:r>
              </w:smartTag>
              <w:r>
                <w:rPr>
                  <w:rFonts w:cs="Arial"/>
                  <w:sz w:val="18"/>
                  <w:szCs w:val="18"/>
                </w:rPr>
                <w:t xml:space="preserve"> </w:t>
              </w:r>
              <w:smartTag w:uri="urn:schemas-microsoft-com:office:smarttags" w:element="PlaceType">
                <w:r>
                  <w:rPr>
                    <w:rFonts w:cs="Arial"/>
                    <w:sz w:val="18"/>
                    <w:szCs w:val="18"/>
                  </w:rPr>
                  <w:t>Sea</w:t>
                </w:r>
              </w:smartTag>
            </w:smartTag>
            <w:r>
              <w:rPr>
                <w:rFonts w:cs="Arial"/>
                <w:sz w:val="18"/>
                <w:szCs w:val="18"/>
              </w:rPr>
              <w:t xml:space="preserve"> Fisheries Committee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Northgate Managed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NSL Ltd (Lancaster)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NSL Ltd (</w:t>
            </w:r>
            <w:smartTag w:uri="urn:schemas-microsoft-com:office:smarttags" w:element="place">
              <w:smartTag w:uri="urn:schemas-microsoft-com:office:smarttags" w:element="City">
                <w:r>
                  <w:rPr>
                    <w:rFonts w:cs="Arial"/>
                    <w:sz w:val="18"/>
                    <w:szCs w:val="18"/>
                  </w:rPr>
                  <w:t>Wyre</w:t>
                </w:r>
              </w:smartTag>
              <w:r>
                <w:rPr>
                  <w:rFonts w:cs="Arial"/>
                  <w:sz w:val="18"/>
                  <w:szCs w:val="18"/>
                </w:rPr>
                <w:t xml:space="preserve"> </w:t>
              </w:r>
              <w:smartTag w:uri="urn:schemas-microsoft-com:office:smarttags" w:element="State">
                <w:r>
                  <w:rPr>
                    <w:rFonts w:cs="Arial"/>
                    <w:sz w:val="18"/>
                    <w:szCs w:val="18"/>
                  </w:rPr>
                  <w:t>BC</w:t>
                </w:r>
              </w:smartTag>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ind w:right="8"/>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Ormerod Home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Our Lady Queen of Peace (Bullough Contract Services)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Pendle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28.7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Pendle Leisure Trust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Penwortham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Pilling Parish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Care and Repair</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City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Preston</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Preston</w:t>
              </w:r>
            </w:smartTag>
            <w:r>
              <w:rPr>
                <w:rFonts w:cs="Arial"/>
                <w:sz w:val="18"/>
                <w:szCs w:val="18"/>
              </w:rPr>
              <w:t xml:space="preserve"> Council for Voluntary Services </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Care Housing</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Housing Group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Progress Recruitments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Queen Elizabeth's Grammar School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22.8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Ribble</w:t>
                </w:r>
              </w:smartTag>
              <w:r>
                <w:rPr>
                  <w:rFonts w:cs="Arial"/>
                  <w:sz w:val="18"/>
                  <w:szCs w:val="18"/>
                </w:rPr>
                <w:t xml:space="preserve"> </w:t>
              </w:r>
              <w:smartTag w:uri="urn:schemas-microsoft-com:office:smarttags" w:element="PlaceType">
                <w:r>
                  <w:rPr>
                    <w:rFonts w:cs="Arial"/>
                    <w:sz w:val="18"/>
                    <w:szCs w:val="18"/>
                  </w:rPr>
                  <w:t>Valley</w:t>
                </w:r>
              </w:smartTag>
            </w:smartTag>
            <w:r>
              <w:rPr>
                <w:rFonts w:cs="Arial"/>
                <w:sz w:val="18"/>
                <w:szCs w:val="18"/>
              </w:rPr>
              <w:t xml:space="preserv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17.1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Ribble Valley Homes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Leisure Trust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14.6</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Rossendale Transport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31.8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40.3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Name">
                <w:r>
                  <w:rPr>
                    <w:rFonts w:cs="Arial"/>
                    <w:sz w:val="18"/>
                    <w:szCs w:val="18"/>
                  </w:rPr>
                  <w:t>Runshaw</w:t>
                </w:r>
              </w:smartTag>
              <w:r>
                <w:rPr>
                  <w:rFonts w:cs="Arial"/>
                  <w:sz w:val="18"/>
                  <w:szCs w:val="18"/>
                </w:rPr>
                <w:t xml:space="preserve"> </w:t>
              </w:r>
              <w:smartTag w:uri="urn:schemas-microsoft-com:office:smarttags" w:element="PlaceType">
                <w:r>
                  <w:rPr>
                    <w:rFonts w:cs="Arial"/>
                    <w:sz w:val="18"/>
                    <w:szCs w:val="18"/>
                  </w:rPr>
                  <w:t>College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1D3559">
            <w:pPr>
              <w:rPr>
                <w:rFonts w:cs="Arial"/>
                <w:sz w:val="18"/>
                <w:szCs w:val="18"/>
              </w:rPr>
            </w:pPr>
            <w:r>
              <w:rPr>
                <w:rFonts w:cs="Arial"/>
                <w:sz w:val="18"/>
                <w:szCs w:val="18"/>
              </w:rPr>
              <w:t>Sig</w:t>
            </w:r>
            <w:r w:rsidR="001D3559">
              <w:rPr>
                <w:rFonts w:cs="Arial"/>
                <w:sz w:val="18"/>
                <w:szCs w:val="18"/>
              </w:rPr>
              <w:t>n</w:t>
            </w:r>
            <w:r>
              <w:rPr>
                <w:rFonts w:cs="Arial"/>
                <w:sz w:val="18"/>
                <w:szCs w:val="18"/>
              </w:rPr>
              <w:t>posts MARC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bl>
    <w:p w:rsidR="007D4ABB" w:rsidRPr="009A3AFE" w:rsidRDefault="007D4ABB" w:rsidP="00B8085C">
      <w:pPr>
        <w:spacing w:before="240"/>
        <w:rPr>
          <w:sz w:val="16"/>
          <w:highlight w:val="yellow"/>
        </w:rPr>
      </w:pPr>
      <w:r w:rsidRPr="009A3AFE">
        <w:rPr>
          <w:sz w:val="16"/>
          <w:highlight w:val="yellow"/>
        </w:rPr>
        <w:br w:type="page"/>
      </w:r>
    </w:p>
    <w:tbl>
      <w:tblPr>
        <w:tblpPr w:leftFromText="180" w:rightFromText="180" w:vertAnchor="page" w:horzAnchor="margin" w:tblpY="905"/>
        <w:tblW w:w="10286" w:type="dxa"/>
        <w:shd w:val="clear" w:color="auto" w:fill="F3F3F3"/>
        <w:tblLayout w:type="fixed"/>
        <w:tblLook w:val="0000"/>
      </w:tblPr>
      <w:tblGrid>
        <w:gridCol w:w="3194"/>
        <w:gridCol w:w="870"/>
        <w:gridCol w:w="870"/>
        <w:gridCol w:w="870"/>
        <w:gridCol w:w="870"/>
        <w:gridCol w:w="870"/>
        <w:gridCol w:w="870"/>
        <w:gridCol w:w="1872"/>
      </w:tblGrid>
      <w:tr w:rsidR="00F6079E" w:rsidRPr="009A3AFE" w:rsidTr="00F6079E">
        <w:trPr>
          <w:cantSplit/>
          <w:trHeight w:val="1124"/>
        </w:trPr>
        <w:tc>
          <w:tcPr>
            <w:tcW w:w="3194" w:type="dxa"/>
            <w:tcBorders>
              <w:top w:val="single" w:sz="4" w:space="0" w:color="auto"/>
              <w:left w:val="single" w:sz="4" w:space="0" w:color="auto"/>
              <w:right w:val="single" w:sz="4" w:space="0" w:color="auto"/>
            </w:tcBorders>
            <w:shd w:val="clear" w:color="auto" w:fill="F3F3F3"/>
          </w:tcPr>
          <w:p w:rsidR="00F6079E" w:rsidRPr="009A3AFE" w:rsidRDefault="00F6079E" w:rsidP="00F6079E">
            <w:pPr>
              <w:rPr>
                <w:b/>
                <w:sz w:val="18"/>
                <w:highlight w:val="yellow"/>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ind w:left="-108"/>
              <w:jc w:val="center"/>
              <w:rPr>
                <w:b/>
                <w:color w:val="000000"/>
                <w:sz w:val="18"/>
              </w:rPr>
            </w:pPr>
            <w:r w:rsidRPr="00A92013">
              <w:rPr>
                <w:b/>
                <w:color w:val="000000"/>
                <w:sz w:val="18"/>
              </w:rPr>
              <w:t>2011/12</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rPr>
              <w:t>2012/13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8"/>
              </w:rPr>
            </w:pPr>
            <w:r w:rsidRPr="00A92013">
              <w:rPr>
                <w:b/>
                <w:color w:val="000000"/>
                <w:sz w:val="18"/>
                <w:szCs w:val="18"/>
              </w:rPr>
              <w:t>2013/14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A92013">
              <w:rPr>
                <w:b/>
                <w:color w:val="000000"/>
                <w:sz w:val="18"/>
                <w:szCs w:val="18"/>
              </w:rPr>
              <w:t>Non-ill health early retirement allowance included for the 3 years 2011/14</w:t>
            </w:r>
          </w:p>
        </w:tc>
      </w:tr>
      <w:tr w:rsidR="00F6079E" w:rsidRPr="009A3AFE" w:rsidTr="007D4ABB">
        <w:trPr>
          <w:cantSplit/>
          <w:trHeight w:val="861"/>
        </w:trPr>
        <w:tc>
          <w:tcPr>
            <w:tcW w:w="3194" w:type="dxa"/>
            <w:tcBorders>
              <w:left w:val="single" w:sz="4" w:space="0" w:color="auto"/>
              <w:bottom w:val="single" w:sz="4" w:space="0" w:color="auto"/>
              <w:right w:val="single" w:sz="4" w:space="0" w:color="auto"/>
            </w:tcBorders>
            <w:shd w:val="clear" w:color="auto" w:fill="F3F3F3"/>
            <w:vAlign w:val="center"/>
          </w:tcPr>
          <w:p w:rsidR="00F6079E" w:rsidRPr="009A3AFE" w:rsidRDefault="00F6079E" w:rsidP="00F6079E">
            <w:pPr>
              <w:rPr>
                <w:b/>
                <w:sz w:val="18"/>
                <w:highlight w:val="yellow"/>
              </w:rPr>
            </w:pPr>
            <w:r w:rsidRPr="009227D1">
              <w:rPr>
                <w:b/>
                <w:sz w:val="18"/>
              </w:rPr>
              <w:t>Employers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Individual Adjust-ment)</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 xml:space="preserve">Total Contribu-tion Rate </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jc w:val="center"/>
              <w:rPr>
                <w:b/>
                <w:sz w:val="14"/>
              </w:rPr>
            </w:pPr>
            <w:r w:rsidRPr="00A92013">
              <w:rPr>
                <w:b/>
                <w:sz w:val="14"/>
              </w:rPr>
              <w:t>Total Contribu-tion Rate</w:t>
            </w:r>
          </w:p>
          <w:p w:rsidR="00F6079E" w:rsidRPr="00A92013" w:rsidRDefault="00F6079E" w:rsidP="00F6079E">
            <w:pPr>
              <w:jc w:val="center"/>
              <w:rPr>
                <w:b/>
                <w:sz w:val="14"/>
              </w:rPr>
            </w:pP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b/>
                <w:sz w:val="14"/>
              </w:rPr>
            </w:pPr>
            <w:r w:rsidRPr="00A92013">
              <w:rPr>
                <w:b/>
                <w:sz w:val="14"/>
              </w:rPr>
              <w:t>Individual Adjust-ment</w:t>
            </w:r>
            <w:r w:rsidRPr="00A92013">
              <w:rPr>
                <w:b/>
                <w:sz w:val="14"/>
              </w:rPr>
              <w:br/>
            </w:r>
            <w:r>
              <w:rPr>
                <w:b/>
                <w:sz w:val="14"/>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B51B16" w:rsidRDefault="00F6079E" w:rsidP="00F6079E">
            <w:pPr>
              <w:jc w:val="center"/>
              <w:rPr>
                <w:b/>
                <w:sz w:val="14"/>
              </w:rPr>
            </w:pPr>
            <w:r w:rsidRPr="00B51B16">
              <w:rPr>
                <w:b/>
                <w:sz w:val="14"/>
              </w:rPr>
              <w:t>Total Contribu-tion Rate</w:t>
            </w:r>
          </w:p>
          <w:p w:rsidR="00F6079E" w:rsidRPr="00B51B16" w:rsidRDefault="00F6079E" w:rsidP="00F6079E">
            <w:pPr>
              <w:jc w:val="center"/>
              <w:rPr>
                <w:b/>
                <w:sz w:val="14"/>
              </w:rPr>
            </w:pPr>
            <w:r w:rsidRPr="00B51B16">
              <w:rPr>
                <w:b/>
                <w:sz w:val="14"/>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A92013" w:rsidRDefault="00F6079E" w:rsidP="00F6079E">
            <w:pPr>
              <w:jc w:val="center"/>
              <w:rPr>
                <w:sz w:val="14"/>
                <w:szCs w:val="14"/>
              </w:rPr>
            </w:pPr>
            <w:r w:rsidRPr="00F6079E">
              <w:rPr>
                <w:b/>
                <w:sz w:val="14"/>
                <w:szCs w:val="14"/>
              </w:rPr>
              <w:t>Amount</w:t>
            </w:r>
            <w:r w:rsidRPr="00F6079E">
              <w:rPr>
                <w:b/>
                <w:sz w:val="14"/>
                <w:szCs w:val="14"/>
              </w:rPr>
              <w:br/>
            </w:r>
            <w:r w:rsidRPr="00A92013">
              <w:rPr>
                <w:sz w:val="14"/>
                <w:szCs w:val="14"/>
              </w:rPr>
              <w:t>£</w:t>
            </w: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(Bishop Raws)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(Ripley)</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(Seven Stars)</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w:t>
            </w:r>
            <w:smartTag w:uri="urn:schemas-microsoft-com:office:smarttags" w:element="place">
              <w:smartTag w:uri="urn:schemas-microsoft-com:office:smarttags" w:element="City">
                <w:r>
                  <w:rPr>
                    <w:rFonts w:cs="Arial"/>
                    <w:sz w:val="18"/>
                    <w:szCs w:val="18"/>
                  </w:rPr>
                  <w:t>St Peters</w:t>
                </w:r>
              </w:smartTag>
            </w:smartTag>
            <w:r>
              <w:rPr>
                <w:rFonts w:cs="Arial"/>
                <w:sz w:val="18"/>
                <w:szCs w:val="18"/>
              </w:rPr>
              <w: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9.5</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Solar Facilities (Tarelton)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South Ribble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6.8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19.3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8.8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21.3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ind w:right="8"/>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r w:rsidRPr="00F91505">
              <w:rPr>
                <w:rFonts w:cs="Arial"/>
                <w:sz w:val="18"/>
                <w:szCs w:val="18"/>
              </w:rPr>
              <w:t>South Ribble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10.4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22.9</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St Anne's on Sea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Surestart Hyndburn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12.4</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Twin Valley Homes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Type">
                <w:r>
                  <w:rPr>
                    <w:rFonts w:cs="Arial"/>
                    <w:sz w:val="18"/>
                    <w:szCs w:val="18"/>
                  </w:rPr>
                  <w:t>University</w:t>
                </w:r>
              </w:smartTag>
              <w:r>
                <w:rPr>
                  <w:rFonts w:cs="Arial"/>
                  <w:sz w:val="18"/>
                  <w:szCs w:val="18"/>
                </w:rPr>
                <w:t xml:space="preserve"> of </w:t>
              </w:r>
              <w:smartTag w:uri="urn:schemas-microsoft-com:office:smarttags" w:element="PlaceName">
                <w:r>
                  <w:rPr>
                    <w:rFonts w:cs="Arial"/>
                    <w:sz w:val="18"/>
                    <w:szCs w:val="18"/>
                  </w:rPr>
                  <w:t>Central Lancashire</w:t>
                </w:r>
              </w:smartTag>
            </w:smartTag>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smartTag w:uri="urn:schemas-microsoft-com:office:smarttags" w:element="PlaceType">
                <w:r>
                  <w:rPr>
                    <w:rFonts w:cs="Arial"/>
                    <w:sz w:val="18"/>
                    <w:szCs w:val="18"/>
                  </w:rPr>
                  <w:t>University</w:t>
                </w:r>
              </w:smartTag>
              <w:r>
                <w:rPr>
                  <w:rFonts w:cs="Arial"/>
                  <w:sz w:val="18"/>
                  <w:szCs w:val="18"/>
                </w:rPr>
                <w:t xml:space="preserve"> of </w:t>
              </w:r>
              <w:smartTag w:uri="urn:schemas-microsoft-com:office:smarttags" w:element="PlaceName">
                <w:r>
                  <w:rPr>
                    <w:rFonts w:cs="Arial"/>
                    <w:sz w:val="18"/>
                    <w:szCs w:val="18"/>
                  </w:rPr>
                  <w:t>Cumbria</w:t>
                </w:r>
              </w:smartTag>
            </w:smartTag>
            <w:r>
              <w:rPr>
                <w:rFonts w:cs="Arial"/>
                <w:sz w:val="18"/>
                <w:szCs w:val="18"/>
              </w:rPr>
              <w:t xml:space="preserve"> (was St Martins College)</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14.0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Vita Lend Lease BSF ICT</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0.2</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12.7</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Vita Lend Lease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13.8</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smartTag w:uri="urn:schemas-microsoft-com:office:smarttags" w:element="place">
              <w:r>
                <w:rPr>
                  <w:rFonts w:cs="Arial"/>
                  <w:sz w:val="18"/>
                  <w:szCs w:val="18"/>
                </w:rPr>
                <w:t>West Lancashire</w:t>
              </w:r>
            </w:smartTag>
            <w:r>
              <w:rPr>
                <w:rFonts w:cs="Arial"/>
                <w:sz w:val="18"/>
                <w:szCs w:val="18"/>
              </w:rPr>
              <w:t xml:space="preserv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20.0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46029E">
        <w:trPr>
          <w:cantSplit/>
          <w:trHeight w:val="511"/>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rPr>
                <w:rFonts w:cs="Arial"/>
                <w:sz w:val="18"/>
                <w:szCs w:val="18"/>
              </w:rPr>
            </w:pPr>
            <w:r w:rsidRPr="00F91505">
              <w:rPr>
                <w:rFonts w:cs="Arial"/>
                <w:sz w:val="18"/>
                <w:szCs w:val="18"/>
              </w:rPr>
              <w:t>West Lancashire Community Leisure Ltd</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-0.5</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F91505" w:rsidRDefault="00F6079E" w:rsidP="00F6079E">
            <w:pPr>
              <w:autoSpaceDE w:val="0"/>
              <w:autoSpaceDN w:val="0"/>
              <w:adjustRightInd w:val="0"/>
              <w:jc w:val="center"/>
              <w:rPr>
                <w:rFonts w:cs="Arial"/>
                <w:sz w:val="18"/>
                <w:szCs w:val="18"/>
              </w:rPr>
            </w:pPr>
            <w:r w:rsidRPr="00F91505">
              <w:rPr>
                <w:rFonts w:cs="Arial"/>
                <w:sz w:val="18"/>
                <w:szCs w:val="18"/>
              </w:rPr>
              <w:t>12.0</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Whitworth Town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3.6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16.1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Wyre Borough Council</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12.6</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25.1</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r w:rsidR="00F6079E" w:rsidRPr="009A3AFE" w:rsidTr="007D4ABB">
        <w:trPr>
          <w:cantSplit/>
          <w:trHeight w:val="397"/>
        </w:trPr>
        <w:tc>
          <w:tcPr>
            <w:tcW w:w="3194"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rPr>
                <w:rFonts w:cs="Arial"/>
                <w:sz w:val="18"/>
                <w:szCs w:val="18"/>
              </w:rPr>
            </w:pPr>
            <w:r>
              <w:rPr>
                <w:rFonts w:cs="Arial"/>
                <w:sz w:val="18"/>
                <w:szCs w:val="18"/>
              </w:rPr>
              <w:t>Wyre Housing Association</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57.8</w:t>
            </w:r>
          </w:p>
        </w:tc>
        <w:tc>
          <w:tcPr>
            <w:tcW w:w="870"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Default="00F6079E" w:rsidP="00F6079E">
            <w:pPr>
              <w:autoSpaceDE w:val="0"/>
              <w:autoSpaceDN w:val="0"/>
              <w:adjustRightInd w:val="0"/>
              <w:jc w:val="center"/>
              <w:rPr>
                <w:rFonts w:cs="Arial"/>
                <w:sz w:val="18"/>
                <w:szCs w:val="18"/>
              </w:rPr>
            </w:pPr>
            <w:r>
              <w:rPr>
                <w:rFonts w:cs="Arial"/>
                <w:sz w:val="18"/>
                <w:szCs w:val="18"/>
              </w:rPr>
              <w:t>70.3</w:t>
            </w:r>
          </w:p>
        </w:tc>
        <w:tc>
          <w:tcPr>
            <w:tcW w:w="1872" w:type="dxa"/>
            <w:tcBorders>
              <w:top w:val="single" w:sz="4" w:space="0" w:color="auto"/>
              <w:left w:val="single" w:sz="4" w:space="0" w:color="auto"/>
              <w:bottom w:val="single" w:sz="4" w:space="0" w:color="auto"/>
              <w:right w:val="single" w:sz="4" w:space="0" w:color="auto"/>
            </w:tcBorders>
            <w:shd w:val="clear" w:color="auto" w:fill="F3F3F3"/>
            <w:vAlign w:val="center"/>
          </w:tcPr>
          <w:p w:rsidR="00F6079E" w:rsidRPr="009A3AFE" w:rsidRDefault="00F6079E" w:rsidP="00F6079E">
            <w:pPr>
              <w:spacing w:before="60" w:after="60"/>
              <w:jc w:val="center"/>
              <w:rPr>
                <w:sz w:val="18"/>
                <w:szCs w:val="18"/>
                <w:highlight w:val="yellow"/>
              </w:rPr>
            </w:pPr>
          </w:p>
        </w:tc>
      </w:tr>
    </w:tbl>
    <w:p w:rsidR="00FD3A07" w:rsidRPr="00F6079E" w:rsidRDefault="007D4ABB" w:rsidP="00A67129">
      <w:pPr>
        <w:spacing w:before="240"/>
        <w:rPr>
          <w:sz w:val="16"/>
        </w:rPr>
      </w:pPr>
      <w:r w:rsidRPr="009A3AFE">
        <w:rPr>
          <w:sz w:val="16"/>
          <w:highlight w:val="yellow"/>
        </w:rPr>
        <w:br w:type="page"/>
      </w:r>
      <w:r w:rsidR="00FD3A07" w:rsidRPr="00F6079E">
        <w:rPr>
          <w:b/>
          <w:color w:val="000000"/>
          <w:sz w:val="18"/>
        </w:rPr>
        <w:lastRenderedPageBreak/>
        <w:t>Other interested bodies with no pensionable employees</w:t>
      </w:r>
    </w:p>
    <w:p w:rsidR="00FD3A07" w:rsidRPr="009A3AFE" w:rsidRDefault="00FD3A07" w:rsidP="00FD3A07">
      <w:pPr>
        <w:rPr>
          <w:color w:val="0000FF"/>
          <w:highlight w:val="yellow"/>
        </w:rPr>
      </w:pP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440"/>
        <w:gridCol w:w="360"/>
        <w:gridCol w:w="3510"/>
        <w:gridCol w:w="1457"/>
      </w:tblGrid>
      <w:tr w:rsidR="00FD3A07" w:rsidRPr="009A3AFE">
        <w:trPr>
          <w:trHeight w:val="1061"/>
        </w:trPr>
        <w:tc>
          <w:tcPr>
            <w:tcW w:w="3528" w:type="dxa"/>
            <w:shd w:val="clear" w:color="auto" w:fill="F3F3F3"/>
            <w:vAlign w:val="center"/>
          </w:tcPr>
          <w:p w:rsidR="00FD3A07" w:rsidRPr="00916CF6" w:rsidRDefault="00FD3A07" w:rsidP="00D25355">
            <w:pPr>
              <w:rPr>
                <w:b/>
                <w:color w:val="000000"/>
                <w:sz w:val="16"/>
              </w:rPr>
            </w:pPr>
            <w:r w:rsidRPr="00916CF6">
              <w:rPr>
                <w:b/>
                <w:color w:val="000000"/>
                <w:sz w:val="16"/>
              </w:rPr>
              <w:t>Former Employers</w:t>
            </w:r>
          </w:p>
        </w:tc>
        <w:tc>
          <w:tcPr>
            <w:tcW w:w="1440" w:type="dxa"/>
            <w:shd w:val="clear" w:color="auto" w:fill="F3F3F3"/>
            <w:vAlign w:val="center"/>
          </w:tcPr>
          <w:p w:rsidR="00FD3A07" w:rsidRPr="00916CF6" w:rsidRDefault="00FD3A07" w:rsidP="00D25355">
            <w:pPr>
              <w:jc w:val="center"/>
              <w:rPr>
                <w:b/>
                <w:color w:val="000000"/>
                <w:sz w:val="16"/>
              </w:rPr>
            </w:pPr>
            <w:r w:rsidRPr="00916CF6">
              <w:rPr>
                <w:b/>
                <w:color w:val="000000"/>
                <w:sz w:val="16"/>
              </w:rPr>
              <w:t>Proportion of Pension Increases to be Recharged</w:t>
            </w:r>
            <w:r w:rsidRPr="00916CF6">
              <w:rPr>
                <w:b/>
                <w:color w:val="000000"/>
                <w:sz w:val="16"/>
              </w:rPr>
              <w:br/>
              <w:t>%</w:t>
            </w:r>
          </w:p>
        </w:tc>
        <w:tc>
          <w:tcPr>
            <w:tcW w:w="360" w:type="dxa"/>
            <w:tcBorders>
              <w:top w:val="nil"/>
              <w:bottom w:val="nil"/>
            </w:tcBorders>
          </w:tcPr>
          <w:p w:rsidR="00FD3A07" w:rsidRPr="009A3AFE" w:rsidRDefault="00FD3A07" w:rsidP="00D25355">
            <w:pPr>
              <w:rPr>
                <w:b/>
                <w:color w:val="0000FF"/>
                <w:sz w:val="16"/>
                <w:highlight w:val="yellow"/>
              </w:rPr>
            </w:pPr>
          </w:p>
        </w:tc>
        <w:tc>
          <w:tcPr>
            <w:tcW w:w="3510" w:type="dxa"/>
            <w:shd w:val="clear" w:color="auto" w:fill="F3F3F3"/>
            <w:vAlign w:val="center"/>
          </w:tcPr>
          <w:p w:rsidR="00FD3A07" w:rsidRPr="00916CF6" w:rsidRDefault="00FD3A07" w:rsidP="00D25355">
            <w:pPr>
              <w:rPr>
                <w:b/>
                <w:color w:val="000000"/>
                <w:sz w:val="16"/>
              </w:rPr>
            </w:pPr>
            <w:r w:rsidRPr="00916CF6">
              <w:rPr>
                <w:b/>
                <w:color w:val="000000"/>
                <w:sz w:val="16"/>
              </w:rPr>
              <w:t>Former Employers</w:t>
            </w:r>
          </w:p>
        </w:tc>
        <w:tc>
          <w:tcPr>
            <w:tcW w:w="1457" w:type="dxa"/>
            <w:shd w:val="clear" w:color="auto" w:fill="F3F3F3"/>
            <w:vAlign w:val="center"/>
          </w:tcPr>
          <w:p w:rsidR="00FD3A07" w:rsidRPr="00916CF6" w:rsidRDefault="00FD3A07" w:rsidP="00D25355">
            <w:pPr>
              <w:jc w:val="center"/>
              <w:rPr>
                <w:b/>
                <w:color w:val="000000"/>
                <w:sz w:val="16"/>
              </w:rPr>
            </w:pPr>
            <w:r w:rsidRPr="00916CF6">
              <w:rPr>
                <w:b/>
                <w:color w:val="000000"/>
                <w:sz w:val="16"/>
              </w:rPr>
              <w:t>Proportion of Pension Increases to be Recharged</w:t>
            </w:r>
            <w:r w:rsidRPr="00916CF6">
              <w:rPr>
                <w:b/>
                <w:color w:val="000000"/>
                <w:sz w:val="16"/>
              </w:rPr>
              <w:br/>
              <w:t>%</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Alzheimer's Society</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Department of Transport</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Barnoldswick Town Council</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National Health Service</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Pr="006B6D08" w:rsidRDefault="00916CF6" w:rsidP="00916CF6">
            <w:pPr>
              <w:rPr>
                <w:rFonts w:cs="Arial"/>
                <w:sz w:val="20"/>
              </w:rPr>
            </w:pPr>
            <w:smartTag w:uri="urn:schemas-microsoft-com:office:smarttags" w:element="place">
              <w:r w:rsidRPr="006B6D08">
                <w:rPr>
                  <w:rFonts w:cs="Arial"/>
                  <w:sz w:val="20"/>
                </w:rPr>
                <w:t>Blackpool</w:t>
              </w:r>
            </w:smartTag>
            <w:r w:rsidRPr="006B6D08">
              <w:rPr>
                <w:rFonts w:cs="Arial"/>
                <w:sz w:val="20"/>
              </w:rPr>
              <w:t xml:space="preserve"> &amp; Fylde Mind Association</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Ex National Water Council</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578"/>
        </w:trPr>
        <w:tc>
          <w:tcPr>
            <w:tcW w:w="3528"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Blackpool</w:t>
              </w:r>
            </w:smartTag>
            <w:r>
              <w:rPr>
                <w:rFonts w:cs="Arial"/>
                <w:sz w:val="20"/>
              </w:rPr>
              <w:t xml:space="preserve"> &amp; Fylde Society for the Deaf</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PlaceName">
                <w:r>
                  <w:rPr>
                    <w:rFonts w:cs="Arial"/>
                    <w:sz w:val="20"/>
                  </w:rPr>
                  <w:t>Fylde</w:t>
                </w:r>
              </w:smartTag>
              <w:r>
                <w:rPr>
                  <w:rFonts w:cs="Arial"/>
                  <w:sz w:val="20"/>
                </w:rPr>
                <w:t xml:space="preserve"> </w:t>
              </w:r>
              <w:smartTag w:uri="urn:schemas-microsoft-com:office:smarttags" w:element="PlaceType">
                <w:r>
                  <w:rPr>
                    <w:rFonts w:cs="Arial"/>
                    <w:sz w:val="20"/>
                  </w:rPr>
                  <w:t>Coast</w:t>
                </w:r>
              </w:smartTag>
            </w:smartTag>
            <w:r>
              <w:rPr>
                <w:rFonts w:cs="Arial"/>
                <w:sz w:val="20"/>
              </w:rPr>
              <w:t xml:space="preserve"> Development Association</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558"/>
        </w:trPr>
        <w:tc>
          <w:tcPr>
            <w:tcW w:w="3528" w:type="dxa"/>
            <w:shd w:val="clear" w:color="auto" w:fill="F3F3F3"/>
            <w:vAlign w:val="center"/>
          </w:tcPr>
          <w:p w:rsidR="00916CF6" w:rsidRDefault="00916CF6" w:rsidP="00916CF6">
            <w:pPr>
              <w:rPr>
                <w:rFonts w:cs="Arial"/>
                <w:sz w:val="20"/>
              </w:rPr>
            </w:pPr>
            <w:r>
              <w:rPr>
                <w:rFonts w:cs="Arial"/>
                <w:sz w:val="20"/>
              </w:rPr>
              <w:t xml:space="preserve">Blackpool Town Centre Forum Ltd  </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Lancashire</w:t>
              </w:r>
            </w:smartTag>
            <w:r>
              <w:rPr>
                <w:rFonts w:cs="Arial"/>
                <w:sz w:val="20"/>
              </w:rPr>
              <w:t xml:space="preserve"> South East Probation Committee</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Bulloughs (</w:t>
            </w:r>
            <w:smartTag w:uri="urn:schemas-microsoft-com:office:smarttags" w:element="place">
              <w:r>
                <w:rPr>
                  <w:rFonts w:cs="Arial"/>
                  <w:sz w:val="20"/>
                </w:rPr>
                <w:t>St Albans</w:t>
              </w:r>
            </w:smartTag>
            <w:r>
              <w:rPr>
                <w:rFonts w:cs="Arial"/>
                <w:sz w:val="20"/>
              </w:rPr>
              <w:t>)</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r>
                <w:rPr>
                  <w:rFonts w:cs="Arial"/>
                  <w:sz w:val="20"/>
                </w:rPr>
                <w:t>Lancashire</w:t>
              </w:r>
            </w:smartTag>
            <w:r>
              <w:rPr>
                <w:rFonts w:cs="Arial"/>
                <w:sz w:val="20"/>
              </w:rPr>
              <w:t xml:space="preserve"> Valuation Tribunal</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Burnley &amp; Pendle Development Association</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New Directions</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City">
                <w:r>
                  <w:rPr>
                    <w:rFonts w:cs="Arial"/>
                    <w:sz w:val="20"/>
                  </w:rPr>
                  <w:t>Burton</w:t>
                </w:r>
              </w:smartTag>
            </w:smartTag>
            <w:r>
              <w:rPr>
                <w:rFonts w:cs="Arial"/>
                <w:sz w:val="20"/>
              </w:rPr>
              <w:t xml:space="preserve"> Manor Residential College</w:t>
            </w:r>
          </w:p>
        </w:tc>
        <w:tc>
          <w:tcPr>
            <w:tcW w:w="1440" w:type="dxa"/>
            <w:shd w:val="clear" w:color="auto" w:fill="F3F3F3"/>
            <w:vAlign w:val="center"/>
          </w:tcPr>
          <w:p w:rsidR="00916CF6" w:rsidRDefault="00916CF6" w:rsidP="00916CF6">
            <w:pPr>
              <w:rPr>
                <w:rFonts w:cs="Arial"/>
                <w:sz w:val="20"/>
              </w:rPr>
            </w:pPr>
            <w:r>
              <w:rPr>
                <w:rFonts w:cs="Arial"/>
                <w:sz w:val="20"/>
              </w:rPr>
              <w:t>100</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Preston Vision Ltd</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Carden Croft Ltd</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Salmesbury &amp; Cuerdale Parish Council</w:t>
            </w:r>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604"/>
        </w:trPr>
        <w:tc>
          <w:tcPr>
            <w:tcW w:w="3528" w:type="dxa"/>
            <w:shd w:val="clear" w:color="auto" w:fill="F3F3F3"/>
            <w:vAlign w:val="center"/>
          </w:tcPr>
          <w:p w:rsidR="00916CF6" w:rsidRPr="006B6D08" w:rsidRDefault="00916CF6" w:rsidP="00916CF6">
            <w:pPr>
              <w:rPr>
                <w:rFonts w:cs="Arial"/>
                <w:sz w:val="20"/>
              </w:rPr>
            </w:pPr>
            <w:r w:rsidRPr="006B6D08">
              <w:rPr>
                <w:rFonts w:cs="Arial"/>
                <w:sz w:val="20"/>
              </w:rPr>
              <w:t xml:space="preserve">Community </w:t>
            </w:r>
            <w:smartTag w:uri="urn:schemas-microsoft-com:office:smarttags" w:element="City">
              <w:smartTag w:uri="urn:schemas-microsoft-com:office:smarttags" w:element="place">
                <w:r w:rsidRPr="006B6D08">
                  <w:rPr>
                    <w:rFonts w:cs="Arial"/>
                    <w:sz w:val="20"/>
                  </w:rPr>
                  <w:t>Alliance</w:t>
                </w:r>
              </w:smartTag>
            </w:smartTag>
            <w:r w:rsidRPr="006B6D08">
              <w:rPr>
                <w:rFonts w:cs="Arial"/>
                <w:sz w:val="20"/>
              </w:rPr>
              <w:t xml:space="preserve"> (Burnley &amp; Padiham) Ltd</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smartTag w:uri="urn:schemas-microsoft-com:office:smarttags" w:element="place">
              <w:smartTag w:uri="urn:schemas-microsoft-com:office:smarttags" w:element="PlaceName">
                <w:r>
                  <w:rPr>
                    <w:rFonts w:cs="Arial"/>
                    <w:sz w:val="20"/>
                  </w:rPr>
                  <w:t>Skelmersdale</w:t>
                </w:r>
              </w:smartTag>
              <w:r>
                <w:rPr>
                  <w:rFonts w:cs="Arial"/>
                  <w:sz w:val="20"/>
                </w:rPr>
                <w:t xml:space="preserve"> </w:t>
              </w:r>
              <w:smartTag w:uri="urn:schemas-microsoft-com:office:smarttags" w:element="PlaceType">
                <w:r>
                  <w:rPr>
                    <w:rFonts w:cs="Arial"/>
                    <w:sz w:val="20"/>
                  </w:rPr>
                  <w:t>College</w:t>
                </w:r>
              </w:smartTag>
            </w:smartTag>
          </w:p>
        </w:tc>
        <w:tc>
          <w:tcPr>
            <w:tcW w:w="1457" w:type="dxa"/>
            <w:shd w:val="clear" w:color="auto" w:fill="F3F3F3"/>
            <w:vAlign w:val="center"/>
          </w:tcPr>
          <w:p w:rsidR="00916CF6" w:rsidRDefault="00916CF6" w:rsidP="00916CF6">
            <w:pPr>
              <w:rPr>
                <w:rFonts w:cs="Arial"/>
                <w:sz w:val="20"/>
              </w:rPr>
            </w:pPr>
            <w:r>
              <w:rPr>
                <w:rFonts w:cs="Arial"/>
                <w:sz w:val="20"/>
              </w:rPr>
              <w:t>See notes</w:t>
            </w:r>
          </w:p>
        </w:tc>
      </w:tr>
      <w:tr w:rsidR="00916CF6" w:rsidRPr="009A3AFE" w:rsidTr="00916CF6">
        <w:trPr>
          <w:trHeight w:hRule="exact" w:val="442"/>
        </w:trPr>
        <w:tc>
          <w:tcPr>
            <w:tcW w:w="3528" w:type="dxa"/>
            <w:shd w:val="clear" w:color="auto" w:fill="F3F3F3"/>
            <w:vAlign w:val="center"/>
          </w:tcPr>
          <w:p w:rsidR="00916CF6" w:rsidRDefault="00916CF6" w:rsidP="00916CF6">
            <w:pPr>
              <w:rPr>
                <w:rFonts w:cs="Arial"/>
                <w:sz w:val="20"/>
              </w:rPr>
            </w:pPr>
            <w:r>
              <w:rPr>
                <w:rFonts w:cs="Arial"/>
                <w:sz w:val="20"/>
              </w:rPr>
              <w:t>CSB Contract Services</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r>
              <w:rPr>
                <w:rFonts w:cs="Arial"/>
                <w:sz w:val="20"/>
              </w:rPr>
              <w:t>Spastics Society</w:t>
            </w:r>
          </w:p>
        </w:tc>
        <w:tc>
          <w:tcPr>
            <w:tcW w:w="1457" w:type="dxa"/>
            <w:shd w:val="clear" w:color="auto" w:fill="F3F3F3"/>
            <w:vAlign w:val="center"/>
          </w:tcPr>
          <w:p w:rsidR="00916CF6" w:rsidRDefault="00916CF6" w:rsidP="00916CF6">
            <w:pPr>
              <w:rPr>
                <w:rFonts w:cs="Arial"/>
                <w:sz w:val="20"/>
              </w:rPr>
            </w:pPr>
            <w:r>
              <w:rPr>
                <w:rFonts w:cs="Arial"/>
                <w:sz w:val="20"/>
              </w:rPr>
              <w:t>100</w:t>
            </w:r>
          </w:p>
        </w:tc>
      </w:tr>
      <w:tr w:rsidR="00916CF6" w:rsidRPr="009A3AFE" w:rsidTr="00916CF6">
        <w:trPr>
          <w:trHeight w:val="500"/>
        </w:trPr>
        <w:tc>
          <w:tcPr>
            <w:tcW w:w="3528" w:type="dxa"/>
            <w:shd w:val="clear" w:color="auto" w:fill="F3F3F3"/>
            <w:vAlign w:val="center"/>
          </w:tcPr>
          <w:p w:rsidR="00916CF6" w:rsidRPr="006B6D08" w:rsidRDefault="00916CF6" w:rsidP="00916CF6">
            <w:pPr>
              <w:rPr>
                <w:rFonts w:cs="Arial"/>
                <w:sz w:val="20"/>
              </w:rPr>
            </w:pPr>
            <w:r w:rsidRPr="006B6D08">
              <w:rPr>
                <w:rFonts w:cs="Arial"/>
                <w:sz w:val="20"/>
              </w:rPr>
              <w:t>Elm House Management Committee</w:t>
            </w:r>
          </w:p>
        </w:tc>
        <w:tc>
          <w:tcPr>
            <w:tcW w:w="1440" w:type="dxa"/>
            <w:shd w:val="clear" w:color="auto" w:fill="F3F3F3"/>
            <w:vAlign w:val="center"/>
          </w:tcPr>
          <w:p w:rsidR="00916CF6" w:rsidRDefault="00916CF6" w:rsidP="00916CF6">
            <w:pPr>
              <w:rPr>
                <w:rFonts w:cs="Arial"/>
                <w:sz w:val="20"/>
              </w:rPr>
            </w:pPr>
            <w:r>
              <w:rPr>
                <w:rFonts w:cs="Arial"/>
                <w:sz w:val="20"/>
              </w:rPr>
              <w:t>See notes</w:t>
            </w:r>
          </w:p>
        </w:tc>
        <w:tc>
          <w:tcPr>
            <w:tcW w:w="360" w:type="dxa"/>
            <w:tcBorders>
              <w:top w:val="nil"/>
              <w:bottom w:val="nil"/>
            </w:tcBorders>
            <w:vAlign w:val="center"/>
          </w:tcPr>
          <w:p w:rsidR="00916CF6" w:rsidRPr="009A3AFE" w:rsidRDefault="00916CF6" w:rsidP="00916CF6">
            <w:pPr>
              <w:rPr>
                <w:color w:val="0000FF"/>
                <w:sz w:val="16"/>
                <w:highlight w:val="yellow"/>
              </w:rPr>
            </w:pPr>
          </w:p>
        </w:tc>
        <w:tc>
          <w:tcPr>
            <w:tcW w:w="3510" w:type="dxa"/>
            <w:shd w:val="clear" w:color="auto" w:fill="F3F3F3"/>
            <w:vAlign w:val="center"/>
          </w:tcPr>
          <w:p w:rsidR="00916CF6" w:rsidRDefault="00916CF6" w:rsidP="00916CF6">
            <w:pPr>
              <w:rPr>
                <w:rFonts w:cs="Arial"/>
                <w:sz w:val="20"/>
              </w:rPr>
            </w:pPr>
          </w:p>
        </w:tc>
        <w:tc>
          <w:tcPr>
            <w:tcW w:w="1457" w:type="dxa"/>
            <w:shd w:val="clear" w:color="auto" w:fill="F3F3F3"/>
            <w:vAlign w:val="center"/>
          </w:tcPr>
          <w:p w:rsidR="00916CF6" w:rsidRDefault="00916CF6" w:rsidP="00916CF6">
            <w:pPr>
              <w:rPr>
                <w:rFonts w:cs="Arial"/>
                <w:sz w:val="20"/>
              </w:rPr>
            </w:pPr>
          </w:p>
        </w:tc>
      </w:tr>
    </w:tbl>
    <w:p w:rsidR="00FD3A07" w:rsidRPr="009A3AFE" w:rsidRDefault="00FD3A07" w:rsidP="00FD3A07">
      <w:pPr>
        <w:rPr>
          <w:color w:val="0000FF"/>
          <w:highlight w:val="yellow"/>
        </w:rPr>
      </w:pPr>
    </w:p>
    <w:p w:rsidR="0086294C" w:rsidRPr="009A3AFE" w:rsidRDefault="0086294C" w:rsidP="0086294C">
      <w:pPr>
        <w:rPr>
          <w:highlight w:val="yellow"/>
        </w:rPr>
      </w:pPr>
    </w:p>
    <w:p w:rsidR="00916CF6" w:rsidRPr="0025018F" w:rsidRDefault="00916CF6" w:rsidP="00916CF6">
      <w:pPr>
        <w:rPr>
          <w:sz w:val="20"/>
        </w:rPr>
      </w:pPr>
      <w:r w:rsidRPr="0025018F">
        <w:rPr>
          <w:sz w:val="20"/>
        </w:rPr>
        <w:t>Note:</w:t>
      </w:r>
    </w:p>
    <w:p w:rsidR="00916CF6" w:rsidRDefault="00916CF6" w:rsidP="00916CF6">
      <w:pPr>
        <w:rPr>
          <w:sz w:val="20"/>
        </w:rPr>
      </w:pPr>
      <w:r w:rsidRPr="0008002F">
        <w:rPr>
          <w:sz w:val="20"/>
        </w:rPr>
        <w:t xml:space="preserve">Members of the Fund employed by </w:t>
      </w:r>
      <w:smartTag w:uri="urn:schemas-microsoft-com:office:smarttags" w:element="PlaceName">
        <w:r w:rsidRPr="0008002F">
          <w:rPr>
            <w:sz w:val="20"/>
          </w:rPr>
          <w:t>Skelmersdale</w:t>
        </w:r>
      </w:smartTag>
      <w:r w:rsidRPr="0008002F">
        <w:rPr>
          <w:sz w:val="20"/>
        </w:rPr>
        <w:t xml:space="preserve"> </w:t>
      </w:r>
      <w:smartTag w:uri="urn:schemas-microsoft-com:office:smarttags" w:element="PlaceType">
        <w:r w:rsidRPr="0008002F">
          <w:rPr>
            <w:sz w:val="20"/>
          </w:rPr>
          <w:t>College</w:t>
        </w:r>
      </w:smartTag>
      <w:r w:rsidRPr="0008002F">
        <w:rPr>
          <w:sz w:val="20"/>
        </w:rPr>
        <w:t xml:space="preserve"> have transferred to membership of the </w:t>
      </w:r>
      <w:smartTag w:uri="urn:schemas-microsoft-com:office:smarttags" w:element="place">
        <w:r w:rsidRPr="0008002F">
          <w:rPr>
            <w:sz w:val="20"/>
          </w:rPr>
          <w:t>Tyne</w:t>
        </w:r>
      </w:smartTag>
      <w:r w:rsidRPr="0008002F">
        <w:rPr>
          <w:sz w:val="20"/>
        </w:rPr>
        <w:t xml:space="preserve"> and Wear Fund, and so a bulk transfer payment will be required. Any residual funding shortfall in the LCPF after the transfer payment should then be recovered from the College. </w:t>
      </w:r>
    </w:p>
    <w:p w:rsidR="00916CF6" w:rsidRDefault="00916CF6" w:rsidP="00916CF6">
      <w:pPr>
        <w:rPr>
          <w:sz w:val="20"/>
        </w:rPr>
      </w:pPr>
    </w:p>
    <w:p w:rsidR="00916CF6" w:rsidRPr="0008002F" w:rsidRDefault="00916CF6" w:rsidP="00916CF6">
      <w:r w:rsidRPr="0008002F">
        <w:rPr>
          <w:sz w:val="20"/>
        </w:rPr>
        <w:t xml:space="preserve">For the remaining employers listed as "see notes" above </w:t>
      </w:r>
      <w:r>
        <w:rPr>
          <w:sz w:val="20"/>
        </w:rPr>
        <w:t>further calculations are required in connection with them ceasing to participate in the Fund.</w:t>
      </w:r>
      <w:r w:rsidRPr="0008002F">
        <w:rPr>
          <w:sz w:val="20"/>
        </w:rPr>
        <w:t xml:space="preserve">  </w:t>
      </w:r>
      <w:r>
        <w:rPr>
          <w:sz w:val="20"/>
        </w:rPr>
        <w:t>Further</w:t>
      </w:r>
      <w:r w:rsidRPr="0008002F">
        <w:rPr>
          <w:sz w:val="20"/>
        </w:rPr>
        <w:t xml:space="preserve"> </w:t>
      </w:r>
      <w:r>
        <w:rPr>
          <w:sz w:val="20"/>
        </w:rPr>
        <w:t>details</w:t>
      </w:r>
      <w:r w:rsidRPr="0008002F">
        <w:rPr>
          <w:sz w:val="20"/>
        </w:rPr>
        <w:t xml:space="preserve"> for these employers will be notified in due course.</w:t>
      </w:r>
    </w:p>
    <w:p w:rsidR="0086294C" w:rsidRPr="009A3AFE" w:rsidRDefault="0086294C" w:rsidP="0086294C">
      <w:pPr>
        <w:rPr>
          <w:highlight w:val="yellow"/>
        </w:rPr>
      </w:pPr>
    </w:p>
    <w:p w:rsidR="0086294C" w:rsidRPr="009A3AFE" w:rsidRDefault="0086294C" w:rsidP="0086294C">
      <w:pPr>
        <w:rPr>
          <w:highlight w:val="yellow"/>
        </w:rPr>
      </w:pPr>
    </w:p>
    <w:p w:rsidR="0086294C" w:rsidRPr="009A3AFE" w:rsidRDefault="0086294C" w:rsidP="0086294C">
      <w:pPr>
        <w:rPr>
          <w:highlight w:val="yellow"/>
        </w:rPr>
      </w:pPr>
    </w:p>
    <w:p w:rsidR="00BB7961" w:rsidRDefault="00BB7961">
      <w:pPr>
        <w:rPr>
          <w:b/>
          <w:snapToGrid w:val="0"/>
          <w:sz w:val="28"/>
          <w:lang w:eastAsia="en-US"/>
        </w:rPr>
      </w:pPr>
    </w:p>
    <w:p w:rsidR="00897DBF" w:rsidRDefault="00F41050">
      <w:pPr>
        <w:ind w:left="360"/>
        <w:rPr>
          <w:i/>
        </w:rPr>
      </w:pPr>
      <w:r>
        <w:rPr>
          <w:i/>
        </w:rPr>
        <w:br w:type="page"/>
      </w:r>
    </w:p>
    <w:p w:rsidR="00897DBF" w:rsidRDefault="00670114">
      <w:pPr>
        <w:numPr>
          <w:ilvl w:val="0"/>
          <w:numId w:val="52"/>
        </w:numPr>
      </w:pPr>
      <w:r w:rsidRPr="00670114">
        <w:rPr>
          <w:b/>
          <w:snapToGrid w:val="0"/>
          <w:sz w:val="28"/>
          <w:lang w:eastAsia="en-US"/>
        </w:rPr>
        <w:t>Contacts</w:t>
      </w:r>
    </w:p>
    <w:p w:rsidR="005565E8" w:rsidRPr="00E06FC6" w:rsidRDefault="005565E8" w:rsidP="005565E8">
      <w:pPr>
        <w:rPr>
          <w:b/>
          <w:sz w:val="28"/>
          <w:szCs w:val="28"/>
          <w:lang w:eastAsia="en-US"/>
        </w:rPr>
      </w:pPr>
    </w:p>
    <w:p w:rsidR="0020256C" w:rsidRPr="00E06FC6" w:rsidRDefault="001C31F0" w:rsidP="0020256C">
      <w:pPr>
        <w:rPr>
          <w:rFonts w:cs="Arial"/>
          <w:color w:val="FF0000"/>
        </w:rPr>
      </w:pPr>
      <w:hyperlink r:id="rId33" w:history="1">
        <w:r w:rsidR="00E06FC6" w:rsidRPr="00E06FC6">
          <w:rPr>
            <w:rStyle w:val="Hyperlink"/>
            <w:b/>
          </w:rPr>
          <w:t>http://www.yourpensionservice.org.uk</w:t>
        </w:r>
      </w:hyperlink>
    </w:p>
    <w:p w:rsidR="005565E8" w:rsidRPr="00B07458" w:rsidRDefault="005565E8" w:rsidP="005565E8">
      <w:pPr>
        <w:autoSpaceDE w:val="0"/>
        <w:autoSpaceDN w:val="0"/>
        <w:adjustRightInd w:val="0"/>
        <w:rPr>
          <w:rFonts w:cs="Arial"/>
          <w:bCs/>
          <w:color w:val="000000"/>
          <w:highlight w:val="yellow"/>
        </w:rPr>
      </w:pPr>
    </w:p>
    <w:p w:rsidR="005565E8" w:rsidRPr="00B07458" w:rsidRDefault="005565E8" w:rsidP="005565E8">
      <w:pPr>
        <w:autoSpaceDE w:val="0"/>
        <w:autoSpaceDN w:val="0"/>
        <w:adjustRightInd w:val="0"/>
        <w:rPr>
          <w:rFonts w:cs="Arial"/>
          <w:bCs/>
          <w:color w:val="000000"/>
          <w:highlight w:val="yellow"/>
        </w:rPr>
      </w:pPr>
    </w:p>
    <w:p w:rsidR="005565E8" w:rsidRPr="00E06FC6" w:rsidRDefault="005565E8" w:rsidP="005565E8">
      <w:pPr>
        <w:autoSpaceDE w:val="0"/>
        <w:autoSpaceDN w:val="0"/>
        <w:adjustRightInd w:val="0"/>
        <w:rPr>
          <w:rFonts w:cs="Arial"/>
          <w:b/>
          <w:bCs/>
          <w:color w:val="000000"/>
        </w:rPr>
      </w:pPr>
      <w:r w:rsidRPr="00E06FC6">
        <w:rPr>
          <w:rFonts w:cs="Arial"/>
          <w:b/>
          <w:bCs/>
          <w:color w:val="000000"/>
        </w:rPr>
        <w:t>Benefits and other Administrative Issues</w:t>
      </w:r>
    </w:p>
    <w:p w:rsidR="005565E8" w:rsidRPr="00E06FC6" w:rsidRDefault="005565E8" w:rsidP="005565E8">
      <w:pPr>
        <w:autoSpaceDE w:val="0"/>
        <w:autoSpaceDN w:val="0"/>
        <w:adjustRightInd w:val="0"/>
        <w:rPr>
          <w:rFonts w:cs="Arial"/>
          <w:bCs/>
          <w:color w:val="000000"/>
        </w:rPr>
      </w:pPr>
    </w:p>
    <w:p w:rsidR="005565E8" w:rsidRPr="00E06FC6" w:rsidRDefault="005565E8" w:rsidP="005565E8">
      <w:pPr>
        <w:autoSpaceDE w:val="0"/>
        <w:autoSpaceDN w:val="0"/>
        <w:adjustRightInd w:val="0"/>
        <w:rPr>
          <w:rFonts w:cs="Arial"/>
          <w:bCs/>
          <w:color w:val="000000"/>
        </w:rPr>
      </w:pPr>
      <w:r w:rsidRPr="00E06FC6">
        <w:rPr>
          <w:rFonts w:cs="Arial"/>
          <w:bCs/>
          <w:color w:val="000000"/>
        </w:rPr>
        <w:t>Pensions Helpdesk</w:t>
      </w:r>
    </w:p>
    <w:p w:rsidR="005565E8" w:rsidRPr="00E06FC6" w:rsidRDefault="004C5138" w:rsidP="005565E8">
      <w:pPr>
        <w:autoSpaceDE w:val="0"/>
        <w:autoSpaceDN w:val="0"/>
        <w:adjustRightInd w:val="0"/>
        <w:rPr>
          <w:rFonts w:cs="Arial"/>
          <w:bCs/>
          <w:color w:val="000000"/>
        </w:rPr>
      </w:pPr>
      <w:proofErr w:type="gramStart"/>
      <w:r>
        <w:rPr>
          <w:rFonts w:cs="Arial"/>
          <w:bCs/>
          <w:color w:val="000000"/>
        </w:rPr>
        <w:t>Your</w:t>
      </w:r>
      <w:proofErr w:type="gramEnd"/>
      <w:r w:rsidR="005565E8" w:rsidRPr="00E06FC6">
        <w:rPr>
          <w:rFonts w:cs="Arial"/>
          <w:bCs/>
          <w:color w:val="000000"/>
        </w:rPr>
        <w:t xml:space="preserve"> Pension Service</w:t>
      </w:r>
    </w:p>
    <w:p w:rsidR="005565E8" w:rsidRPr="00E06FC6" w:rsidRDefault="005565E8" w:rsidP="005565E8">
      <w:pPr>
        <w:autoSpaceDE w:val="0"/>
        <w:autoSpaceDN w:val="0"/>
        <w:adjustRightInd w:val="0"/>
        <w:rPr>
          <w:rFonts w:cs="Arial"/>
          <w:bCs/>
          <w:color w:val="000000"/>
        </w:rPr>
      </w:pPr>
      <w:smartTag w:uri="urn:schemas-microsoft-com:office:smarttags" w:element="Street">
        <w:r w:rsidRPr="00E06FC6">
          <w:rPr>
            <w:rFonts w:cs="Arial"/>
            <w:bCs/>
            <w:color w:val="000000"/>
          </w:rPr>
          <w:t>PO Box</w:t>
        </w:r>
      </w:smartTag>
      <w:r w:rsidRPr="00E06FC6">
        <w:rPr>
          <w:rFonts w:cs="Arial"/>
          <w:bCs/>
          <w:color w:val="000000"/>
        </w:rPr>
        <w:t xml:space="preserve"> 100</w:t>
      </w:r>
    </w:p>
    <w:p w:rsidR="005565E8" w:rsidRPr="00E06FC6" w:rsidRDefault="005565E8" w:rsidP="005565E8">
      <w:pPr>
        <w:autoSpaceDE w:val="0"/>
        <w:autoSpaceDN w:val="0"/>
        <w:adjustRightInd w:val="0"/>
        <w:rPr>
          <w:rFonts w:cs="Arial"/>
          <w:bCs/>
          <w:color w:val="000000"/>
        </w:rPr>
      </w:pPr>
      <w:r w:rsidRPr="00E06FC6">
        <w:rPr>
          <w:rFonts w:cs="Arial"/>
          <w:bCs/>
          <w:color w:val="000000"/>
        </w:rPr>
        <w:t>County Hall</w:t>
      </w:r>
    </w:p>
    <w:p w:rsidR="005565E8" w:rsidRPr="00E06FC6" w:rsidRDefault="005565E8" w:rsidP="005565E8">
      <w:pPr>
        <w:autoSpaceDE w:val="0"/>
        <w:autoSpaceDN w:val="0"/>
        <w:adjustRightInd w:val="0"/>
        <w:rPr>
          <w:rFonts w:cs="Arial"/>
          <w:bCs/>
          <w:color w:val="000000"/>
        </w:rPr>
      </w:pPr>
      <w:r w:rsidRPr="00E06FC6">
        <w:rPr>
          <w:rFonts w:cs="Arial"/>
          <w:bCs/>
          <w:color w:val="000000"/>
        </w:rPr>
        <w:t>Preston</w:t>
      </w:r>
    </w:p>
    <w:p w:rsidR="005565E8" w:rsidRPr="00E06FC6" w:rsidRDefault="005565E8" w:rsidP="005565E8">
      <w:pPr>
        <w:autoSpaceDE w:val="0"/>
        <w:autoSpaceDN w:val="0"/>
        <w:adjustRightInd w:val="0"/>
        <w:rPr>
          <w:rFonts w:cs="Arial"/>
          <w:bCs/>
          <w:color w:val="000000"/>
        </w:rPr>
      </w:pPr>
      <w:r w:rsidRPr="00E06FC6">
        <w:rPr>
          <w:rFonts w:cs="Arial"/>
          <w:bCs/>
          <w:color w:val="000000"/>
        </w:rPr>
        <w:t>PR1 0LD</w:t>
      </w:r>
    </w:p>
    <w:p w:rsidR="005565E8" w:rsidRPr="00E06FC6" w:rsidRDefault="005565E8" w:rsidP="005565E8">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01772 530530</w:t>
      </w:r>
    </w:p>
    <w:p w:rsidR="005565E8" w:rsidRPr="00E06FC6" w:rsidRDefault="005565E8" w:rsidP="005565E8">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r>
      <w:hyperlink r:id="rId34" w:history="1">
        <w:r w:rsidR="00E21C30" w:rsidRPr="00E640BD">
          <w:rPr>
            <w:rStyle w:val="Hyperlink"/>
            <w:rFonts w:cs="Arial"/>
            <w:bCs/>
          </w:rPr>
          <w:t>connect2pensions@oneconnectlimited.co.uk</w:t>
        </w:r>
      </w:hyperlink>
    </w:p>
    <w:p w:rsidR="005565E8" w:rsidRPr="00E06FC6" w:rsidRDefault="005565E8" w:rsidP="005565E8">
      <w:pPr>
        <w:rPr>
          <w:b/>
          <w:sz w:val="28"/>
          <w:szCs w:val="28"/>
          <w:lang w:eastAsia="en-US"/>
        </w:rPr>
      </w:pPr>
    </w:p>
    <w:p w:rsidR="00BC2BF0" w:rsidRPr="00E06FC6" w:rsidRDefault="00BC2BF0" w:rsidP="005565E8">
      <w:pPr>
        <w:rPr>
          <w:b/>
          <w:sz w:val="28"/>
          <w:szCs w:val="28"/>
          <w:lang w:eastAsia="en-US"/>
        </w:rPr>
      </w:pPr>
    </w:p>
    <w:p w:rsidR="005565E8" w:rsidRPr="00E06FC6" w:rsidRDefault="005565E8" w:rsidP="005565E8">
      <w:pPr>
        <w:autoSpaceDE w:val="0"/>
        <w:autoSpaceDN w:val="0"/>
        <w:adjustRightInd w:val="0"/>
        <w:rPr>
          <w:rFonts w:cs="Arial"/>
          <w:b/>
          <w:bCs/>
          <w:color w:val="000000"/>
        </w:rPr>
      </w:pPr>
      <w:r w:rsidRPr="00E06FC6">
        <w:rPr>
          <w:rFonts w:cs="Arial"/>
          <w:b/>
          <w:bCs/>
          <w:color w:val="000000"/>
        </w:rPr>
        <w:t>Pension Benefits and Administration</w:t>
      </w:r>
    </w:p>
    <w:p w:rsidR="005565E8" w:rsidRPr="00E06FC6" w:rsidRDefault="005565E8" w:rsidP="005565E8">
      <w:pPr>
        <w:rPr>
          <w:b/>
          <w:sz w:val="28"/>
          <w:szCs w:val="28"/>
          <w:lang w:eastAsia="en-US"/>
        </w:rPr>
      </w:pPr>
    </w:p>
    <w:p w:rsidR="005565E8" w:rsidRPr="00E06FC6" w:rsidRDefault="005565E8" w:rsidP="005565E8">
      <w:pPr>
        <w:rPr>
          <w:rFonts w:cs="Arial"/>
          <w:bCs/>
          <w:color w:val="000000"/>
        </w:rPr>
      </w:pPr>
      <w:r w:rsidRPr="00E06FC6">
        <w:rPr>
          <w:rFonts w:cs="Arial"/>
          <w:bCs/>
          <w:color w:val="000000"/>
        </w:rPr>
        <w:t>Diane Lister</w:t>
      </w:r>
    </w:p>
    <w:p w:rsidR="005565E8" w:rsidRPr="00E06FC6" w:rsidRDefault="006343DA" w:rsidP="005565E8">
      <w:pPr>
        <w:rPr>
          <w:rFonts w:cs="Arial"/>
          <w:bCs/>
          <w:color w:val="000000"/>
        </w:rPr>
      </w:pPr>
      <w:r>
        <w:rPr>
          <w:rFonts w:cs="Arial"/>
          <w:bCs/>
          <w:color w:val="000000"/>
        </w:rPr>
        <w:t xml:space="preserve">Head of Your </w:t>
      </w:r>
      <w:r w:rsidR="005565E8" w:rsidRPr="00E06FC6">
        <w:rPr>
          <w:rFonts w:cs="Arial"/>
          <w:bCs/>
          <w:color w:val="000000"/>
        </w:rPr>
        <w:t>Pension Service</w:t>
      </w: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01772 534827</w:t>
      </w:r>
    </w:p>
    <w:p w:rsidR="00BC2BF0" w:rsidRPr="00E06FC6"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r>
      <w:hyperlink r:id="rId35" w:history="1">
        <w:r w:rsidR="00E21C30" w:rsidRPr="00E640BD">
          <w:rPr>
            <w:rStyle w:val="Hyperlink"/>
            <w:rFonts w:cs="Arial"/>
            <w:bCs/>
          </w:rPr>
          <w:t>connect2pensions@oneconnectlimited.co.uk</w:t>
        </w:r>
      </w:hyperlink>
    </w:p>
    <w:p w:rsidR="005565E8" w:rsidRPr="00B07458" w:rsidRDefault="005565E8" w:rsidP="005565E8">
      <w:pPr>
        <w:rPr>
          <w:b/>
          <w:sz w:val="28"/>
          <w:szCs w:val="28"/>
          <w:highlight w:val="yellow"/>
          <w:lang w:eastAsia="en-US"/>
        </w:rPr>
      </w:pPr>
    </w:p>
    <w:p w:rsidR="00BC2BF0" w:rsidRPr="00B07458" w:rsidRDefault="00BC2BF0" w:rsidP="005565E8">
      <w:pPr>
        <w:rPr>
          <w:b/>
          <w:sz w:val="28"/>
          <w:szCs w:val="28"/>
          <w:highlight w:val="yellow"/>
          <w:lang w:eastAsia="en-US"/>
        </w:rPr>
      </w:pPr>
    </w:p>
    <w:p w:rsidR="00BC2BF0" w:rsidRDefault="00BC2BF0" w:rsidP="00BC2BF0">
      <w:pPr>
        <w:autoSpaceDE w:val="0"/>
        <w:autoSpaceDN w:val="0"/>
        <w:adjustRightInd w:val="0"/>
        <w:rPr>
          <w:rFonts w:cs="Arial"/>
          <w:b/>
          <w:bCs/>
          <w:color w:val="000000"/>
        </w:rPr>
      </w:pPr>
      <w:r w:rsidRPr="00E06FC6">
        <w:rPr>
          <w:rFonts w:cs="Arial"/>
          <w:b/>
          <w:bCs/>
          <w:color w:val="000000"/>
        </w:rPr>
        <w:t xml:space="preserve">Pension Fund </w:t>
      </w:r>
      <w:r w:rsidR="00A11FA4">
        <w:rPr>
          <w:rFonts w:cs="Arial"/>
          <w:b/>
          <w:bCs/>
          <w:color w:val="000000"/>
        </w:rPr>
        <w:t>Accounts</w:t>
      </w:r>
    </w:p>
    <w:p w:rsidR="00A11FA4" w:rsidRPr="00E06FC6" w:rsidRDefault="00A11FA4" w:rsidP="00BC2BF0">
      <w:pPr>
        <w:autoSpaceDE w:val="0"/>
        <w:autoSpaceDN w:val="0"/>
        <w:adjustRightInd w:val="0"/>
        <w:rPr>
          <w:rFonts w:cs="Arial"/>
          <w:b/>
          <w:bCs/>
          <w:color w:val="000000"/>
        </w:rPr>
      </w:pPr>
    </w:p>
    <w:p w:rsidR="00BC2BF0" w:rsidRDefault="00670114" w:rsidP="00BC2BF0">
      <w:pPr>
        <w:rPr>
          <w:rFonts w:cs="Arial"/>
          <w:bCs/>
          <w:color w:val="000000"/>
        </w:rPr>
      </w:pPr>
      <w:r w:rsidRPr="00670114">
        <w:rPr>
          <w:rFonts w:cs="Arial"/>
          <w:bCs/>
          <w:color w:val="000000"/>
        </w:rPr>
        <w:t>Abigail Leech</w:t>
      </w:r>
    </w:p>
    <w:p w:rsidR="00A11FA4" w:rsidRPr="00A11FA4" w:rsidRDefault="00A11FA4" w:rsidP="00BC2BF0">
      <w:pPr>
        <w:rPr>
          <w:rFonts w:cs="Arial"/>
          <w:bCs/>
          <w:color w:val="000000"/>
        </w:rPr>
      </w:pPr>
      <w:r>
        <w:rPr>
          <w:rFonts w:cs="Arial"/>
          <w:bCs/>
          <w:color w:val="000000"/>
        </w:rPr>
        <w:t>Head of Financial Accounting &amp; Taxation</w:t>
      </w: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 xml:space="preserve">01772 </w:t>
      </w:r>
      <w:r w:rsidR="00A11FA4">
        <w:rPr>
          <w:rFonts w:cs="Arial"/>
          <w:bCs/>
          <w:color w:val="000000"/>
        </w:rPr>
        <w:t>530808</w:t>
      </w:r>
    </w:p>
    <w:p w:rsidR="00BC2BF0" w:rsidRPr="00E06FC6"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r>
      <w:hyperlink r:id="rId36" w:history="1">
        <w:r w:rsidR="00A11FA4" w:rsidRPr="00636DD0">
          <w:rPr>
            <w:rStyle w:val="Hyperlink"/>
            <w:rFonts w:cs="Arial"/>
            <w:bCs/>
          </w:rPr>
          <w:t>abigail.leech</w:t>
        </w:r>
        <w:r w:rsidRPr="00636DD0">
          <w:rPr>
            <w:rStyle w:val="Hyperlink"/>
            <w:rFonts w:cs="Arial"/>
            <w:bCs/>
          </w:rPr>
          <w:t>@lancashire.gov.uk</w:t>
        </w:r>
      </w:hyperlink>
    </w:p>
    <w:p w:rsidR="00BC2BF0" w:rsidRPr="00B07458" w:rsidRDefault="00BC2BF0" w:rsidP="00BC2BF0">
      <w:pPr>
        <w:rPr>
          <w:b/>
          <w:sz w:val="28"/>
          <w:szCs w:val="28"/>
          <w:highlight w:val="yellow"/>
          <w:lang w:eastAsia="en-US"/>
        </w:rPr>
      </w:pPr>
    </w:p>
    <w:p w:rsidR="00BC2BF0" w:rsidRPr="00B07458" w:rsidRDefault="00BC2BF0" w:rsidP="00BC2BF0">
      <w:pPr>
        <w:rPr>
          <w:b/>
          <w:sz w:val="28"/>
          <w:szCs w:val="28"/>
          <w:highlight w:val="yellow"/>
          <w:lang w:eastAsia="en-US"/>
        </w:rPr>
      </w:pPr>
    </w:p>
    <w:p w:rsidR="00BC2BF0" w:rsidRPr="00E06FC6" w:rsidRDefault="00BC2BF0" w:rsidP="00BC2BF0">
      <w:pPr>
        <w:autoSpaceDE w:val="0"/>
        <w:autoSpaceDN w:val="0"/>
        <w:adjustRightInd w:val="0"/>
        <w:rPr>
          <w:rFonts w:cs="Arial"/>
          <w:b/>
          <w:bCs/>
          <w:color w:val="000000"/>
        </w:rPr>
      </w:pPr>
      <w:r w:rsidRPr="00E06FC6">
        <w:rPr>
          <w:rFonts w:cs="Arial"/>
          <w:b/>
          <w:bCs/>
          <w:color w:val="000000"/>
        </w:rPr>
        <w:t>Pension Fund Investments</w:t>
      </w:r>
      <w:r w:rsidR="00880512" w:rsidRPr="00E06FC6">
        <w:rPr>
          <w:rFonts w:cs="Arial"/>
          <w:b/>
          <w:bCs/>
          <w:color w:val="000000"/>
        </w:rPr>
        <w:t xml:space="preserve"> </w:t>
      </w:r>
    </w:p>
    <w:p w:rsidR="00BC2BF0" w:rsidRPr="00E06FC6" w:rsidRDefault="00BC2BF0" w:rsidP="00BC2BF0">
      <w:pPr>
        <w:rPr>
          <w:b/>
          <w:sz w:val="28"/>
          <w:szCs w:val="28"/>
          <w:lang w:eastAsia="en-US"/>
        </w:rPr>
      </w:pPr>
    </w:p>
    <w:p w:rsidR="00BC2BF0" w:rsidRPr="00E06FC6" w:rsidRDefault="00BC2BF0" w:rsidP="00BC2BF0">
      <w:pPr>
        <w:rPr>
          <w:rFonts w:cs="Arial"/>
          <w:bCs/>
          <w:color w:val="000000"/>
        </w:rPr>
      </w:pPr>
      <w:r w:rsidRPr="00E06FC6">
        <w:rPr>
          <w:rFonts w:cs="Arial"/>
          <w:bCs/>
          <w:color w:val="000000"/>
        </w:rPr>
        <w:t>Mike Jensen</w:t>
      </w:r>
    </w:p>
    <w:p w:rsidR="00BC2BF0" w:rsidRPr="00FC2CFF" w:rsidRDefault="00FC2CFF" w:rsidP="00BC2BF0">
      <w:pPr>
        <w:rPr>
          <w:rFonts w:cs="Arial"/>
          <w:bCs/>
          <w:color w:val="000000"/>
        </w:rPr>
      </w:pPr>
      <w:r w:rsidRPr="00FC2CFF">
        <w:rPr>
          <w:rFonts w:cs="Arial"/>
          <w:bCs/>
          <w:color w:val="000000"/>
        </w:rPr>
        <w:t>Chief Investment Officer</w:t>
      </w:r>
    </w:p>
    <w:p w:rsidR="00BC2BF0" w:rsidRPr="00E06FC6" w:rsidRDefault="00BC2BF0" w:rsidP="00BC2BF0">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01772 534742</w:t>
      </w:r>
    </w:p>
    <w:p w:rsidR="00BC2BF0" w:rsidRDefault="00BC2BF0" w:rsidP="00BC2BF0">
      <w:pPr>
        <w:autoSpaceDE w:val="0"/>
        <w:autoSpaceDN w:val="0"/>
        <w:adjustRightInd w:val="0"/>
        <w:rPr>
          <w:rFonts w:cs="Arial"/>
          <w:bCs/>
          <w:color w:val="000000"/>
        </w:rPr>
      </w:pPr>
      <w:r w:rsidRPr="00E06FC6">
        <w:rPr>
          <w:rFonts w:cs="Arial"/>
          <w:bCs/>
          <w:color w:val="000000"/>
        </w:rPr>
        <w:t xml:space="preserve">E-mail: </w:t>
      </w:r>
      <w:r w:rsidRPr="00E06FC6">
        <w:rPr>
          <w:rFonts w:cs="Arial"/>
          <w:bCs/>
          <w:color w:val="000000"/>
        </w:rPr>
        <w:tab/>
      </w:r>
      <w:hyperlink r:id="rId37" w:history="1">
        <w:r w:rsidR="00A11FA4" w:rsidRPr="00935D4F">
          <w:rPr>
            <w:rStyle w:val="Hyperlink"/>
            <w:rFonts w:cs="Arial"/>
            <w:bCs/>
          </w:rPr>
          <w:t>mike.jensen@lancashire.gov.uk</w:t>
        </w:r>
      </w:hyperlink>
    </w:p>
    <w:p w:rsidR="00A11FA4" w:rsidRDefault="00A11FA4" w:rsidP="00BC2BF0">
      <w:pPr>
        <w:autoSpaceDE w:val="0"/>
        <w:autoSpaceDN w:val="0"/>
        <w:adjustRightInd w:val="0"/>
        <w:rPr>
          <w:rFonts w:cs="Arial"/>
          <w:bCs/>
          <w:color w:val="000000"/>
        </w:rPr>
      </w:pPr>
    </w:p>
    <w:p w:rsidR="00A11FA4" w:rsidRDefault="00A11FA4" w:rsidP="00BC2BF0">
      <w:pPr>
        <w:autoSpaceDE w:val="0"/>
        <w:autoSpaceDN w:val="0"/>
        <w:adjustRightInd w:val="0"/>
        <w:rPr>
          <w:rFonts w:cs="Arial"/>
          <w:b/>
          <w:bCs/>
          <w:color w:val="000000"/>
        </w:rPr>
      </w:pPr>
    </w:p>
    <w:p w:rsidR="00A11FA4" w:rsidRDefault="00726C56" w:rsidP="00BC2BF0">
      <w:pPr>
        <w:autoSpaceDE w:val="0"/>
        <w:autoSpaceDN w:val="0"/>
        <w:adjustRightInd w:val="0"/>
        <w:rPr>
          <w:rFonts w:cs="Arial"/>
          <w:b/>
          <w:bCs/>
          <w:color w:val="000000"/>
        </w:rPr>
      </w:pPr>
      <w:r w:rsidRPr="00726C56">
        <w:rPr>
          <w:rFonts w:cs="Arial"/>
          <w:b/>
          <w:bCs/>
          <w:color w:val="000000"/>
        </w:rPr>
        <w:t>Pension Fund Governance</w:t>
      </w:r>
    </w:p>
    <w:p w:rsidR="00A11FA4" w:rsidRDefault="00A11FA4" w:rsidP="00BC2BF0">
      <w:pPr>
        <w:autoSpaceDE w:val="0"/>
        <w:autoSpaceDN w:val="0"/>
        <w:adjustRightInd w:val="0"/>
        <w:rPr>
          <w:rFonts w:cs="Arial"/>
          <w:b/>
          <w:bCs/>
          <w:color w:val="000000"/>
        </w:rPr>
      </w:pPr>
    </w:p>
    <w:p w:rsidR="00A11FA4" w:rsidRDefault="00A11FA4" w:rsidP="00A11FA4">
      <w:pPr>
        <w:rPr>
          <w:rFonts w:cs="Arial"/>
          <w:bCs/>
          <w:color w:val="000000"/>
        </w:rPr>
      </w:pPr>
      <w:r>
        <w:rPr>
          <w:rFonts w:cs="Arial"/>
          <w:bCs/>
          <w:color w:val="000000"/>
        </w:rPr>
        <w:t>Andrew Fox</w:t>
      </w:r>
    </w:p>
    <w:p w:rsidR="00A11FA4" w:rsidRDefault="00A11FA4" w:rsidP="00A11FA4">
      <w:pPr>
        <w:autoSpaceDE w:val="0"/>
        <w:autoSpaceDN w:val="0"/>
        <w:adjustRightInd w:val="0"/>
        <w:rPr>
          <w:rFonts w:cs="Arial"/>
          <w:bCs/>
          <w:color w:val="000000"/>
        </w:rPr>
      </w:pPr>
      <w:r>
        <w:rPr>
          <w:rFonts w:cs="Arial"/>
          <w:bCs/>
          <w:color w:val="000000"/>
        </w:rPr>
        <w:t>Head of Investment Compliance</w:t>
      </w:r>
    </w:p>
    <w:p w:rsidR="00A11FA4" w:rsidRPr="00E06FC6" w:rsidRDefault="00A11FA4" w:rsidP="00A11FA4">
      <w:pPr>
        <w:autoSpaceDE w:val="0"/>
        <w:autoSpaceDN w:val="0"/>
        <w:adjustRightInd w:val="0"/>
        <w:rPr>
          <w:rFonts w:cs="Arial"/>
          <w:bCs/>
          <w:color w:val="000000"/>
        </w:rPr>
      </w:pPr>
      <w:r w:rsidRPr="00E06FC6">
        <w:rPr>
          <w:rFonts w:cs="Arial"/>
          <w:bCs/>
          <w:color w:val="000000"/>
        </w:rPr>
        <w:t>Telephone:</w:t>
      </w:r>
      <w:r w:rsidRPr="00E06FC6">
        <w:rPr>
          <w:rFonts w:cs="Arial"/>
          <w:bCs/>
          <w:color w:val="000000"/>
        </w:rPr>
        <w:tab/>
        <w:t>01772 53</w:t>
      </w:r>
      <w:r>
        <w:rPr>
          <w:rFonts w:cs="Arial"/>
          <w:bCs/>
          <w:color w:val="000000"/>
        </w:rPr>
        <w:t>535916</w:t>
      </w:r>
    </w:p>
    <w:p w:rsidR="00897DBF" w:rsidRDefault="00A11FA4">
      <w:pPr>
        <w:autoSpaceDE w:val="0"/>
        <w:autoSpaceDN w:val="0"/>
        <w:adjustRightInd w:val="0"/>
        <w:rPr>
          <w:b/>
          <w:sz w:val="28"/>
          <w:szCs w:val="28"/>
          <w:lang w:eastAsia="en-US"/>
        </w:rPr>
      </w:pPr>
      <w:r w:rsidRPr="00E06FC6">
        <w:rPr>
          <w:rFonts w:cs="Arial"/>
          <w:bCs/>
          <w:color w:val="000000"/>
        </w:rPr>
        <w:t xml:space="preserve">E-mail: </w:t>
      </w:r>
      <w:r w:rsidRPr="00E06FC6">
        <w:rPr>
          <w:rFonts w:cs="Arial"/>
          <w:bCs/>
          <w:color w:val="000000"/>
        </w:rPr>
        <w:tab/>
      </w:r>
      <w:hyperlink r:id="rId38" w:history="1">
        <w:r w:rsidRPr="00636DD0">
          <w:rPr>
            <w:rStyle w:val="Hyperlink"/>
            <w:rFonts w:cs="Arial"/>
            <w:bCs/>
          </w:rPr>
          <w:t>andrew.fox@lancashire.gov.uk</w:t>
        </w:r>
      </w:hyperlink>
    </w:p>
    <w:sectPr w:rsidR="00897DBF" w:rsidSect="00B64E05">
      <w:headerReference w:type="default" r:id="rId39"/>
      <w:footerReference w:type="default" r:id="rId40"/>
      <w:headerReference w:type="first" r:id="rId41"/>
      <w:footerReference w:type="first" r:id="rId42"/>
      <w:pgSz w:w="12240" w:h="15840" w:code="1"/>
      <w:pgMar w:top="567" w:right="1021" w:bottom="0" w:left="851" w:header="284" w:footer="284" w:gutter="0"/>
      <w:pgNumType w:start="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DBF" w:rsidRDefault="00897DBF">
      <w:r>
        <w:separator/>
      </w:r>
    </w:p>
  </w:endnote>
  <w:endnote w:type="continuationSeparator" w:id="0">
    <w:p w:rsidR="00897DBF" w:rsidRDefault="00897D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T38BAo00">
    <w:panose1 w:val="00000000000000000000"/>
    <w:charset w:val="00"/>
    <w:family w:val="auto"/>
    <w:notTrueType/>
    <w:pitch w:val="default"/>
    <w:sig w:usb0="00000003" w:usb1="00000000" w:usb2="00000000" w:usb3="00000000" w:csb0="00000001" w:csb1="00000000"/>
  </w:font>
  <w:font w:name="TT38BBo00">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Swiss721BT-Thin">
    <w:panose1 w:val="00000000000000000000"/>
    <w:charset w:val="00"/>
    <w:family w:val="auto"/>
    <w:notTrueType/>
    <w:pitch w:val="default"/>
    <w:sig w:usb0="00000003" w:usb1="00000000" w:usb2="00000000" w:usb3="00000000" w:csb0="00000001" w:csb1="00000000"/>
  </w:font>
  <w:font w:name="Swiss721BT-Thin-Identity-H">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T104929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808365"/>
      <w:docPartObj>
        <w:docPartGallery w:val="Page Numbers (Bottom of Page)"/>
        <w:docPartUnique/>
      </w:docPartObj>
    </w:sdtPr>
    <w:sdtContent>
      <w:p w:rsidR="00897DBF" w:rsidRDefault="00897DBF">
        <w:pPr>
          <w:pStyle w:val="Footer"/>
          <w:jc w:val="right"/>
          <w:rPr>
            <w:sz w:val="20"/>
          </w:rPr>
        </w:pPr>
        <w:r w:rsidRPr="00880512">
          <w:rPr>
            <w:sz w:val="20"/>
          </w:rPr>
          <w:t>Annual Report 20</w:t>
        </w:r>
        <w:r>
          <w:rPr>
            <w:sz w:val="20"/>
          </w:rPr>
          <w:t>12</w:t>
        </w:r>
        <w:r w:rsidRPr="00880512">
          <w:rPr>
            <w:sz w:val="20"/>
          </w:rPr>
          <w:t xml:space="preserve"> / 201</w:t>
        </w:r>
        <w:r>
          <w:rPr>
            <w:sz w:val="20"/>
          </w:rPr>
          <w:t>3</w:t>
        </w:r>
      </w:p>
      <w:p w:rsidR="00897DBF" w:rsidRPr="00880512" w:rsidRDefault="00897DBF">
        <w:pPr>
          <w:pStyle w:val="Footer"/>
          <w:jc w:val="right"/>
          <w:rPr>
            <w:sz w:val="20"/>
          </w:rPr>
        </w:pPr>
        <w:r>
          <w:rPr>
            <w:sz w:val="20"/>
          </w:rPr>
          <w:t xml:space="preserve">      </w:t>
        </w:r>
        <w:r w:rsidR="001C31F0" w:rsidRPr="00880512">
          <w:rPr>
            <w:sz w:val="20"/>
          </w:rPr>
          <w:fldChar w:fldCharType="begin"/>
        </w:r>
        <w:r w:rsidRPr="00880512">
          <w:rPr>
            <w:sz w:val="20"/>
          </w:rPr>
          <w:instrText xml:space="preserve"> PAGE   \* MERGEFORMAT </w:instrText>
        </w:r>
        <w:r w:rsidR="001C31F0" w:rsidRPr="00880512">
          <w:rPr>
            <w:sz w:val="20"/>
          </w:rPr>
          <w:fldChar w:fldCharType="separate"/>
        </w:r>
        <w:r w:rsidR="00C67DCE">
          <w:rPr>
            <w:noProof/>
            <w:sz w:val="20"/>
          </w:rPr>
          <w:t>1</w:t>
        </w:r>
        <w:r w:rsidR="001C31F0" w:rsidRPr="00880512">
          <w:rPr>
            <w:sz w:val="20"/>
          </w:rPr>
          <w:fldChar w:fldCharType="end"/>
        </w:r>
      </w:p>
    </w:sdtContent>
  </w:sdt>
  <w:p w:rsidR="007F5205" w:rsidRDefault="007F52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DBF" w:rsidRDefault="00897DBF">
    <w:pPr>
      <w:pStyle w:val="Footer"/>
      <w:tabs>
        <w:tab w:val="clear" w:pos="4153"/>
      </w:tabs>
      <w:ind w:right="-4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DBF" w:rsidRDefault="00897DBF">
      <w:r>
        <w:separator/>
      </w:r>
    </w:p>
  </w:footnote>
  <w:footnote w:type="continuationSeparator" w:id="0">
    <w:p w:rsidR="00897DBF" w:rsidRDefault="00897D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DBF" w:rsidRDefault="001C31F0">
    <w:pPr>
      <w:pStyle w:val="Header"/>
    </w:pPr>
    <w:sdt>
      <w:sdtPr>
        <w:rPr>
          <w:rFonts w:asciiTheme="majorHAnsi" w:eastAsiaTheme="majorEastAsia" w:hAnsiTheme="majorHAnsi" w:cstheme="majorBidi"/>
          <w:color w:val="4F81BD" w:themeColor="accent1"/>
          <w:szCs w:val="24"/>
        </w:rPr>
        <w:alias w:val="Title"/>
        <w:id w:val="78404852"/>
        <w:dataBinding w:prefixMappings="xmlns:ns0='http://schemas.openxmlformats.org/package/2006/metadata/core-properties' xmlns:ns1='http://purl.org/dc/elements/1.1/'" w:xpath="/ns0:coreProperties[1]/ns1:title[1]" w:storeItemID="{6C3C8BC8-F283-45AE-878A-BAB7291924A1}"/>
        <w:text/>
      </w:sdtPr>
      <w:sdtContent>
        <w:r w:rsidR="00897DBF">
          <w:rPr>
            <w:rFonts w:asciiTheme="majorHAnsi" w:eastAsiaTheme="majorEastAsia" w:hAnsiTheme="majorHAnsi" w:cstheme="majorBidi"/>
            <w:color w:val="4F81BD" w:themeColor="accent1"/>
            <w:szCs w:val="24"/>
          </w:rPr>
          <w:t>Annual Report</w:t>
        </w:r>
      </w:sdtContent>
    </w:sdt>
    <w:r w:rsidR="00897DBF">
      <w:rPr>
        <w:rFonts w:asciiTheme="majorHAnsi" w:eastAsiaTheme="majorEastAsia" w:hAnsiTheme="majorHAnsi" w:cstheme="majorBidi"/>
        <w:color w:val="4F81BD" w:themeColor="accent1"/>
        <w:szCs w:val="24"/>
      </w:rPr>
      <w:ptab w:relativeTo="margin" w:alignment="right" w:leader="none"/>
    </w:r>
    <w:sdt>
      <w:sdtPr>
        <w:rPr>
          <w:rFonts w:asciiTheme="majorHAnsi" w:eastAsiaTheme="majorEastAsia" w:hAnsiTheme="majorHAnsi" w:cstheme="majorBidi"/>
          <w:color w:val="4F81BD" w:themeColor="accent1"/>
          <w:szCs w:val="24"/>
        </w:rPr>
        <w:alias w:val="Date"/>
        <w:id w:val="7840485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897DBF">
          <w:rPr>
            <w:rFonts w:asciiTheme="majorHAnsi" w:eastAsiaTheme="majorEastAsia" w:hAnsiTheme="majorHAnsi" w:cstheme="majorBidi"/>
            <w:color w:val="4F81BD" w:themeColor="accent1"/>
            <w:szCs w:val="24"/>
          </w:rPr>
          <w:t>2012 / 13</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DBF" w:rsidRDefault="00897DBF">
    <w:pPr>
      <w:pStyle w:val="Header"/>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DCEE8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22A4A"/>
    <w:multiLevelType w:val="hybridMultilevel"/>
    <w:tmpl w:val="1DB8654E"/>
    <w:lvl w:ilvl="0" w:tplc="0809000F">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nsid w:val="01140F45"/>
    <w:multiLevelType w:val="hybridMultilevel"/>
    <w:tmpl w:val="E5F2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09749C"/>
    <w:multiLevelType w:val="hybridMultilevel"/>
    <w:tmpl w:val="CE5AE24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41C61ED"/>
    <w:multiLevelType w:val="hybridMultilevel"/>
    <w:tmpl w:val="0CC2AC06"/>
    <w:lvl w:ilvl="0" w:tplc="4314C1E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6E07400"/>
    <w:multiLevelType w:val="hybridMultilevel"/>
    <w:tmpl w:val="E3164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EF0DA0"/>
    <w:multiLevelType w:val="hybridMultilevel"/>
    <w:tmpl w:val="3F8EA61C"/>
    <w:lvl w:ilvl="0" w:tplc="6CB283B6">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nsid w:val="09AF2E7D"/>
    <w:multiLevelType w:val="hybridMultilevel"/>
    <w:tmpl w:val="6A5E16A4"/>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0DB1033C"/>
    <w:multiLevelType w:val="hybridMultilevel"/>
    <w:tmpl w:val="E12251D4"/>
    <w:lvl w:ilvl="0" w:tplc="E272B69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0DEC4ED7"/>
    <w:multiLevelType w:val="hybridMultilevel"/>
    <w:tmpl w:val="76B8DACC"/>
    <w:lvl w:ilvl="0" w:tplc="08090001">
      <w:start w:val="30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E64553"/>
    <w:multiLevelType w:val="hybridMultilevel"/>
    <w:tmpl w:val="9314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193180"/>
    <w:multiLevelType w:val="hybridMultilevel"/>
    <w:tmpl w:val="61B26588"/>
    <w:lvl w:ilvl="0" w:tplc="E8A45DCE">
      <w:start w:val="8"/>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C66349"/>
    <w:multiLevelType w:val="hybridMultilevel"/>
    <w:tmpl w:val="4D9CB322"/>
    <w:lvl w:ilvl="0" w:tplc="344CD746">
      <w:start w:val="8"/>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6CB2F20"/>
    <w:multiLevelType w:val="hybridMultilevel"/>
    <w:tmpl w:val="206EA744"/>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174F6F21"/>
    <w:multiLevelType w:val="multilevel"/>
    <w:tmpl w:val="EC42485A"/>
    <w:lvl w:ilvl="0">
      <w:start w:val="1"/>
      <w:numFmt w:val="decimal"/>
      <w:pStyle w:val="Bullet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BBF26DB"/>
    <w:multiLevelType w:val="hybridMultilevel"/>
    <w:tmpl w:val="C4BE2494"/>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1DDD505B"/>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1E1367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FD152EF"/>
    <w:multiLevelType w:val="hybridMultilevel"/>
    <w:tmpl w:val="BFDE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A83B71"/>
    <w:multiLevelType w:val="multilevel"/>
    <w:tmpl w:val="6994C1A8"/>
    <w:lvl w:ilvl="0">
      <w:start w:val="1"/>
      <w:numFmt w:val="bullet"/>
      <w:pStyle w:val="BulletSingle"/>
      <w:lvlText w:val=""/>
      <w:lvlJc w:val="left"/>
      <w:pPr>
        <w:tabs>
          <w:tab w:val="num" w:pos="360"/>
        </w:tabs>
        <w:ind w:left="357" w:hanging="357"/>
      </w:pPr>
      <w:rPr>
        <w:rFonts w:ascii="Wingdings" w:hAnsi="Wingdings" w:hint="default"/>
        <w:sz w:val="20"/>
      </w:rPr>
    </w:lvl>
    <w:lvl w:ilvl="1">
      <w:start w:val="1"/>
      <w:numFmt w:val="bullet"/>
      <w:pStyle w:val="BulletSingle2"/>
      <w:lvlText w:val=""/>
      <w:lvlJc w:val="left"/>
      <w:pPr>
        <w:tabs>
          <w:tab w:val="num" w:pos="720"/>
        </w:tabs>
        <w:ind w:left="720" w:hanging="360"/>
      </w:pPr>
      <w:rPr>
        <w:rFonts w:ascii="Wingdings" w:hAnsi="Wingdings" w:hint="default"/>
        <w:sz w:val="20"/>
      </w:rPr>
    </w:lvl>
    <w:lvl w:ilvl="2">
      <w:start w:val="1"/>
      <w:numFmt w:val="bullet"/>
      <w:pStyle w:val="BulletSingle3"/>
      <w:lvlText w:val=""/>
      <w:lvlJc w:val="left"/>
      <w:pPr>
        <w:tabs>
          <w:tab w:val="num" w:pos="1080"/>
        </w:tabs>
        <w:ind w:left="1080" w:hanging="360"/>
      </w:pPr>
      <w:rPr>
        <w:rFonts w:ascii="Wingdings" w:hAnsi="Wingdings" w:hint="default"/>
        <w:sz w:val="20"/>
      </w:rPr>
    </w:lvl>
    <w:lvl w:ilvl="3">
      <w:start w:val="1"/>
      <w:numFmt w:val="bullet"/>
      <w:pStyle w:val="BulletSingle4"/>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4771BA9"/>
    <w:multiLevelType w:val="hybridMultilevel"/>
    <w:tmpl w:val="B0148FA4"/>
    <w:lvl w:ilvl="0" w:tplc="49803A16">
      <w:start w:val="1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nsid w:val="292F1FE5"/>
    <w:multiLevelType w:val="hybridMultilevel"/>
    <w:tmpl w:val="74D0D1D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E163B7"/>
    <w:multiLevelType w:val="hybridMultilevel"/>
    <w:tmpl w:val="8C0C4D96"/>
    <w:lvl w:ilvl="0" w:tplc="E6AA9548">
      <w:start w:val="30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B867CA5"/>
    <w:multiLevelType w:val="hybridMultilevel"/>
    <w:tmpl w:val="4B10FBE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2C5C6F77"/>
    <w:multiLevelType w:val="hybridMultilevel"/>
    <w:tmpl w:val="F5464546"/>
    <w:lvl w:ilvl="0" w:tplc="33C0D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ED6717B"/>
    <w:multiLevelType w:val="hybridMultilevel"/>
    <w:tmpl w:val="B1E63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F551652"/>
    <w:multiLevelType w:val="hybridMultilevel"/>
    <w:tmpl w:val="F39A0F1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nsid w:val="30206A04"/>
    <w:multiLevelType w:val="hybridMultilevel"/>
    <w:tmpl w:val="B58A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22A4331"/>
    <w:multiLevelType w:val="multilevel"/>
    <w:tmpl w:val="EB942036"/>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nsid w:val="3546747E"/>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30">
    <w:nsid w:val="37295529"/>
    <w:multiLevelType w:val="hybridMultilevel"/>
    <w:tmpl w:val="B554D94A"/>
    <w:lvl w:ilvl="0" w:tplc="F266D47E">
      <w:start w:val="3"/>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88B5F6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8E44637"/>
    <w:multiLevelType w:val="hybridMultilevel"/>
    <w:tmpl w:val="F72276D8"/>
    <w:lvl w:ilvl="0" w:tplc="48CC0DC2">
      <w:start w:val="1"/>
      <w:numFmt w:val="upp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B7F26DD"/>
    <w:multiLevelType w:val="hybridMultilevel"/>
    <w:tmpl w:val="06E624A8"/>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0C91743"/>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4186758C"/>
    <w:multiLevelType w:val="hybridMultilevel"/>
    <w:tmpl w:val="69BCD9AE"/>
    <w:lvl w:ilvl="0" w:tplc="9762FE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5A722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8">
    <w:nsid w:val="45797449"/>
    <w:multiLevelType w:val="hybridMultilevel"/>
    <w:tmpl w:val="F0048B9C"/>
    <w:lvl w:ilvl="0" w:tplc="74E28358">
      <w:start w:val="2"/>
      <w:numFmt w:val="bullet"/>
      <w:lvlText w:val="-"/>
      <w:lvlJc w:val="left"/>
      <w:pPr>
        <w:ind w:left="1287" w:hanging="360"/>
      </w:pPr>
      <w:rPr>
        <w:rFonts w:ascii="Times New Roman" w:hAnsi="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nsid w:val="4AE919F0"/>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0">
    <w:nsid w:val="4B4B51AD"/>
    <w:multiLevelType w:val="hybridMultilevel"/>
    <w:tmpl w:val="5F20AD8C"/>
    <w:lvl w:ilvl="0" w:tplc="B1D0EB32">
      <w:start w:val="4"/>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E3D47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4FD32116"/>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43">
    <w:nsid w:val="532A42D3"/>
    <w:multiLevelType w:val="hybridMultilevel"/>
    <w:tmpl w:val="6CD8231E"/>
    <w:lvl w:ilvl="0" w:tplc="B50E519E">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nsid w:val="54742E0B"/>
    <w:multiLevelType w:val="singleLevel"/>
    <w:tmpl w:val="74E28358"/>
    <w:lvl w:ilvl="0">
      <w:start w:val="2"/>
      <w:numFmt w:val="bullet"/>
      <w:lvlText w:val="-"/>
      <w:lvlJc w:val="left"/>
      <w:pPr>
        <w:tabs>
          <w:tab w:val="num" w:pos="825"/>
        </w:tabs>
        <w:ind w:left="825" w:hanging="393"/>
      </w:pPr>
      <w:rPr>
        <w:rFonts w:ascii="Times New Roman" w:hAnsi="Times New Roman" w:hint="default"/>
      </w:rPr>
    </w:lvl>
  </w:abstractNum>
  <w:abstractNum w:abstractNumId="45">
    <w:nsid w:val="57910CB5"/>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nsid w:val="585D40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nsid w:val="59FB3BCD"/>
    <w:multiLevelType w:val="hybridMultilevel"/>
    <w:tmpl w:val="CFD6FE6C"/>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CAB5BB6"/>
    <w:multiLevelType w:val="hybridMultilevel"/>
    <w:tmpl w:val="613C9D18"/>
    <w:lvl w:ilvl="0" w:tplc="08090005">
      <w:start w:val="1"/>
      <w:numFmt w:val="bullet"/>
      <w:lvlText w:val=""/>
      <w:lvlJc w:val="left"/>
      <w:pPr>
        <w:ind w:left="2291" w:hanging="360"/>
      </w:pPr>
      <w:rPr>
        <w:rFonts w:ascii="Wingdings" w:hAnsi="Wingdings"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49">
    <w:nsid w:val="5F7B4390"/>
    <w:multiLevelType w:val="hybridMultilevel"/>
    <w:tmpl w:val="78502ADA"/>
    <w:lvl w:ilvl="0" w:tplc="08090015">
      <w:start w:val="1"/>
      <w:numFmt w:val="upp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nsid w:val="629531B8"/>
    <w:multiLevelType w:val="hybridMultilevel"/>
    <w:tmpl w:val="04E87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3B90375"/>
    <w:multiLevelType w:val="hybridMultilevel"/>
    <w:tmpl w:val="E6F25D30"/>
    <w:lvl w:ilvl="0" w:tplc="08090001">
      <w:start w:val="30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4C77DA0"/>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53">
    <w:nsid w:val="66075A2B"/>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54">
    <w:nsid w:val="66621203"/>
    <w:multiLevelType w:val="hybridMultilevel"/>
    <w:tmpl w:val="45706A08"/>
    <w:lvl w:ilvl="0" w:tplc="0809001B">
      <w:start w:val="1"/>
      <w:numFmt w:val="low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5">
    <w:nsid w:val="673F1DAB"/>
    <w:multiLevelType w:val="multilevel"/>
    <w:tmpl w:val="1B34DDA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6">
    <w:nsid w:val="674A440D"/>
    <w:multiLevelType w:val="hybridMultilevel"/>
    <w:tmpl w:val="2DD0E9F0"/>
    <w:lvl w:ilvl="0" w:tplc="47284598">
      <w:start w:val="30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80015A6"/>
    <w:multiLevelType w:val="hybridMultilevel"/>
    <w:tmpl w:val="D2989512"/>
    <w:lvl w:ilvl="0" w:tplc="66E01B4C">
      <w:start w:val="8"/>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0BA5874"/>
    <w:multiLevelType w:val="singleLevel"/>
    <w:tmpl w:val="FFF2907A"/>
    <w:lvl w:ilvl="0">
      <w:start w:val="1"/>
      <w:numFmt w:val="bullet"/>
      <w:lvlText w:val=""/>
      <w:lvlJc w:val="left"/>
      <w:pPr>
        <w:tabs>
          <w:tab w:val="num" w:pos="360"/>
        </w:tabs>
        <w:ind w:left="360" w:hanging="360"/>
      </w:pPr>
      <w:rPr>
        <w:rFonts w:ascii="Symbol" w:hAnsi="Symbol" w:hint="default"/>
      </w:rPr>
    </w:lvl>
  </w:abstractNum>
  <w:abstractNum w:abstractNumId="59">
    <w:nsid w:val="71F766C7"/>
    <w:multiLevelType w:val="hybridMultilevel"/>
    <w:tmpl w:val="57F4BF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25B55E2"/>
    <w:multiLevelType w:val="hybridMultilevel"/>
    <w:tmpl w:val="319A6A0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78B17EB7"/>
    <w:multiLevelType w:val="hybridMultilevel"/>
    <w:tmpl w:val="1FDA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8E077D7"/>
    <w:multiLevelType w:val="hybridMultilevel"/>
    <w:tmpl w:val="0E90EAD4"/>
    <w:lvl w:ilvl="0" w:tplc="68F0204C">
      <w:start w:val="1"/>
      <w:numFmt w:val="lowerLetter"/>
      <w:lvlText w:val="%1)"/>
      <w:lvlJc w:val="left"/>
      <w:pPr>
        <w:ind w:left="1287" w:hanging="360"/>
      </w:pPr>
      <w:rPr>
        <w:b w:val="0"/>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nsid w:val="7C121314"/>
    <w:multiLevelType w:val="hybridMultilevel"/>
    <w:tmpl w:val="E12251D4"/>
    <w:lvl w:ilvl="0" w:tplc="E272B69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4">
    <w:nsid w:val="7DE93843"/>
    <w:multiLevelType w:val="hybridMultilevel"/>
    <w:tmpl w:val="575E1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F7B6D5D"/>
    <w:multiLevelType w:val="singleLevel"/>
    <w:tmpl w:val="C6F41AE2"/>
    <w:lvl w:ilvl="0">
      <w:start w:val="1"/>
      <w:numFmt w:val="decimal"/>
      <w:lvlText w:val="%1."/>
      <w:lvlJc w:val="left"/>
      <w:pPr>
        <w:tabs>
          <w:tab w:val="num" w:pos="360"/>
        </w:tabs>
        <w:ind w:left="360" w:hanging="360"/>
      </w:pPr>
      <w:rPr>
        <w:rFonts w:ascii="Arial" w:hAnsi="Arial" w:cs="Times New Roman" w:hint="default"/>
        <w:b/>
        <w:i w:val="0"/>
        <w:sz w:val="20"/>
      </w:rPr>
    </w:lvl>
  </w:abstractNum>
  <w:abstractNum w:abstractNumId="66">
    <w:nsid w:val="7FBB6A61"/>
    <w:multiLevelType w:val="hybridMultilevel"/>
    <w:tmpl w:val="8D709F40"/>
    <w:lvl w:ilvl="0" w:tplc="49803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28"/>
  </w:num>
  <w:num w:numId="3">
    <w:abstractNumId w:val="0"/>
  </w:num>
  <w:num w:numId="4">
    <w:abstractNumId w:val="44"/>
  </w:num>
  <w:num w:numId="5">
    <w:abstractNumId w:val="41"/>
  </w:num>
  <w:num w:numId="6">
    <w:abstractNumId w:val="14"/>
  </w:num>
  <w:num w:numId="7">
    <w:abstractNumId w:val="34"/>
  </w:num>
  <w:num w:numId="8">
    <w:abstractNumId w:val="19"/>
  </w:num>
  <w:num w:numId="9">
    <w:abstractNumId w:val="4"/>
  </w:num>
  <w:num w:numId="10">
    <w:abstractNumId w:val="32"/>
  </w:num>
  <w:num w:numId="11">
    <w:abstractNumId w:val="36"/>
  </w:num>
  <w:num w:numId="12">
    <w:abstractNumId w:val="10"/>
  </w:num>
  <w:num w:numId="13">
    <w:abstractNumId w:val="5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4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lvlOverride w:ilvl="0">
      <w:startOverride w:val="1"/>
    </w:lvlOverride>
  </w:num>
  <w:num w:numId="20">
    <w:abstractNumId w:val="53"/>
  </w:num>
  <w:num w:numId="21">
    <w:abstractNumId w:val="29"/>
  </w:num>
  <w:num w:numId="22">
    <w:abstractNumId w:val="42"/>
  </w:num>
  <w:num w:numId="23">
    <w:abstractNumId w:val="58"/>
  </w:num>
  <w:num w:numId="24">
    <w:abstractNumId w:val="54"/>
  </w:num>
  <w:num w:numId="25">
    <w:abstractNumId w:val="24"/>
  </w:num>
  <w:num w:numId="26">
    <w:abstractNumId w:val="8"/>
  </w:num>
  <w:num w:numId="27">
    <w:abstractNumId w:val="50"/>
  </w:num>
  <w:num w:numId="28">
    <w:abstractNumId w:val="64"/>
  </w:num>
  <w:num w:numId="29">
    <w:abstractNumId w:val="20"/>
  </w:num>
  <w:num w:numId="30">
    <w:abstractNumId w:val="66"/>
  </w:num>
  <w:num w:numId="31">
    <w:abstractNumId w:val="1"/>
  </w:num>
  <w:num w:numId="32">
    <w:abstractNumId w:val="2"/>
  </w:num>
  <w:num w:numId="33">
    <w:abstractNumId w:val="47"/>
  </w:num>
  <w:num w:numId="34">
    <w:abstractNumId w:val="3"/>
  </w:num>
  <w:num w:numId="35">
    <w:abstractNumId w:val="21"/>
  </w:num>
  <w:num w:numId="36">
    <w:abstractNumId w:val="60"/>
  </w:num>
  <w:num w:numId="37">
    <w:abstractNumId w:val="49"/>
  </w:num>
  <w:num w:numId="38">
    <w:abstractNumId w:val="62"/>
  </w:num>
  <w:num w:numId="39">
    <w:abstractNumId w:val="38"/>
  </w:num>
  <w:num w:numId="40">
    <w:abstractNumId w:val="15"/>
  </w:num>
  <w:num w:numId="41">
    <w:abstractNumId w:val="33"/>
  </w:num>
  <w:num w:numId="42">
    <w:abstractNumId w:val="25"/>
  </w:num>
  <w:num w:numId="43">
    <w:abstractNumId w:val="48"/>
  </w:num>
  <w:num w:numId="44">
    <w:abstractNumId w:val="35"/>
  </w:num>
  <w:num w:numId="45">
    <w:abstractNumId w:val="5"/>
  </w:num>
  <w:num w:numId="46">
    <w:abstractNumId w:val="16"/>
  </w:num>
  <w:num w:numId="47">
    <w:abstractNumId w:val="55"/>
  </w:num>
  <w:num w:numId="48">
    <w:abstractNumId w:val="39"/>
  </w:num>
  <w:num w:numId="49">
    <w:abstractNumId w:val="45"/>
  </w:num>
  <w:num w:numId="50">
    <w:abstractNumId w:val="63"/>
  </w:num>
  <w:num w:numId="51">
    <w:abstractNumId w:val="43"/>
  </w:num>
  <w:num w:numId="52">
    <w:abstractNumId w:val="40"/>
  </w:num>
  <w:num w:numId="53">
    <w:abstractNumId w:val="61"/>
  </w:num>
  <w:num w:numId="54">
    <w:abstractNumId w:val="31"/>
  </w:num>
  <w:num w:numId="55">
    <w:abstractNumId w:val="12"/>
  </w:num>
  <w:num w:numId="56">
    <w:abstractNumId w:val="27"/>
  </w:num>
  <w:num w:numId="57">
    <w:abstractNumId w:val="57"/>
  </w:num>
  <w:num w:numId="58">
    <w:abstractNumId w:val="11"/>
  </w:num>
  <w:num w:numId="59">
    <w:abstractNumId w:val="30"/>
  </w:num>
  <w:num w:numId="60">
    <w:abstractNumId w:val="6"/>
  </w:num>
  <w:num w:numId="61">
    <w:abstractNumId w:val="18"/>
  </w:num>
  <w:num w:numId="62">
    <w:abstractNumId w:val="23"/>
  </w:num>
  <w:num w:numId="63">
    <w:abstractNumId w:val="59"/>
  </w:num>
  <w:num w:numId="64">
    <w:abstractNumId w:val="9"/>
  </w:num>
  <w:num w:numId="65">
    <w:abstractNumId w:val="56"/>
  </w:num>
  <w:num w:numId="66">
    <w:abstractNumId w:val="51"/>
  </w:num>
  <w:num w:numId="67">
    <w:abstractNumId w:val="2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8" w:dllVersion="513" w:checkStyle="1"/>
  <w:activeWritingStyle w:appName="MSWord" w:lang="en-US" w:vendorID="8" w:dllVersion="513" w:checkStyle="1"/>
  <w:proofState w:spelling="clean" w:grammar="clean"/>
  <w:stylePaneFormatFilter w:val="3F01"/>
  <w:doNotTrackMoves/>
  <w:defaultTabStop w:val="2098"/>
  <w:drawingGridHorizontalSpacing w:val="120"/>
  <w:displayHorizontalDrawingGridEvery w:val="0"/>
  <w:displayVerticalDrawingGridEvery w:val="0"/>
  <w:noPunctuationKerning/>
  <w:characterSpacingControl w:val="doNotCompress"/>
  <w:hdrShapeDefaults>
    <o:shapedefaults v:ext="edit" spidmax="6145">
      <o:colormru v:ext="edit" colors="#ddd,green"/>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417A"/>
    <w:rsid w:val="00002C05"/>
    <w:rsid w:val="00003922"/>
    <w:rsid w:val="000040C1"/>
    <w:rsid w:val="000057BE"/>
    <w:rsid w:val="00006951"/>
    <w:rsid w:val="00007603"/>
    <w:rsid w:val="00007B30"/>
    <w:rsid w:val="00010A11"/>
    <w:rsid w:val="00010DC9"/>
    <w:rsid w:val="00011588"/>
    <w:rsid w:val="00015FF1"/>
    <w:rsid w:val="0001765A"/>
    <w:rsid w:val="000204EE"/>
    <w:rsid w:val="00020707"/>
    <w:rsid w:val="00021ACF"/>
    <w:rsid w:val="0002246F"/>
    <w:rsid w:val="0002609B"/>
    <w:rsid w:val="00030FED"/>
    <w:rsid w:val="000312BC"/>
    <w:rsid w:val="0003312C"/>
    <w:rsid w:val="000337BD"/>
    <w:rsid w:val="0003534D"/>
    <w:rsid w:val="00042AA6"/>
    <w:rsid w:val="00042FA2"/>
    <w:rsid w:val="00043762"/>
    <w:rsid w:val="000447B5"/>
    <w:rsid w:val="000448B5"/>
    <w:rsid w:val="00045180"/>
    <w:rsid w:val="000455A1"/>
    <w:rsid w:val="0004576F"/>
    <w:rsid w:val="000461D8"/>
    <w:rsid w:val="00050438"/>
    <w:rsid w:val="0005245C"/>
    <w:rsid w:val="00054781"/>
    <w:rsid w:val="000551AB"/>
    <w:rsid w:val="00055E5C"/>
    <w:rsid w:val="00056E67"/>
    <w:rsid w:val="00060342"/>
    <w:rsid w:val="0006060A"/>
    <w:rsid w:val="00060E6D"/>
    <w:rsid w:val="000624DD"/>
    <w:rsid w:val="00062F20"/>
    <w:rsid w:val="00066E4C"/>
    <w:rsid w:val="00070DCE"/>
    <w:rsid w:val="00073F5E"/>
    <w:rsid w:val="00082C92"/>
    <w:rsid w:val="00083031"/>
    <w:rsid w:val="00083800"/>
    <w:rsid w:val="00084BC1"/>
    <w:rsid w:val="00085FCE"/>
    <w:rsid w:val="00091001"/>
    <w:rsid w:val="000942CE"/>
    <w:rsid w:val="000946DA"/>
    <w:rsid w:val="00095382"/>
    <w:rsid w:val="0009641E"/>
    <w:rsid w:val="0009677B"/>
    <w:rsid w:val="0009705F"/>
    <w:rsid w:val="000A10A1"/>
    <w:rsid w:val="000A2416"/>
    <w:rsid w:val="000A48AF"/>
    <w:rsid w:val="000A54B3"/>
    <w:rsid w:val="000A6684"/>
    <w:rsid w:val="000A71CB"/>
    <w:rsid w:val="000A7A2D"/>
    <w:rsid w:val="000B0126"/>
    <w:rsid w:val="000B1204"/>
    <w:rsid w:val="000B219A"/>
    <w:rsid w:val="000B2827"/>
    <w:rsid w:val="000B3A8E"/>
    <w:rsid w:val="000B629B"/>
    <w:rsid w:val="000B6EED"/>
    <w:rsid w:val="000B71AD"/>
    <w:rsid w:val="000C0A02"/>
    <w:rsid w:val="000C375D"/>
    <w:rsid w:val="000C50AF"/>
    <w:rsid w:val="000C5D95"/>
    <w:rsid w:val="000C7DF3"/>
    <w:rsid w:val="000C7ED3"/>
    <w:rsid w:val="000D02DB"/>
    <w:rsid w:val="000D03D5"/>
    <w:rsid w:val="000D5258"/>
    <w:rsid w:val="000D5991"/>
    <w:rsid w:val="000D6BF5"/>
    <w:rsid w:val="000E1D8A"/>
    <w:rsid w:val="000E4312"/>
    <w:rsid w:val="000E47DB"/>
    <w:rsid w:val="000E7D80"/>
    <w:rsid w:val="000F1578"/>
    <w:rsid w:val="000F1BBF"/>
    <w:rsid w:val="000F2884"/>
    <w:rsid w:val="000F699B"/>
    <w:rsid w:val="000F7FDA"/>
    <w:rsid w:val="00100128"/>
    <w:rsid w:val="0010099D"/>
    <w:rsid w:val="00104348"/>
    <w:rsid w:val="0010528B"/>
    <w:rsid w:val="00105321"/>
    <w:rsid w:val="00105BC2"/>
    <w:rsid w:val="0011110D"/>
    <w:rsid w:val="00112D54"/>
    <w:rsid w:val="00114AFA"/>
    <w:rsid w:val="00116633"/>
    <w:rsid w:val="00117391"/>
    <w:rsid w:val="00117975"/>
    <w:rsid w:val="00120A58"/>
    <w:rsid w:val="001224AE"/>
    <w:rsid w:val="00123C37"/>
    <w:rsid w:val="00123F0B"/>
    <w:rsid w:val="00124268"/>
    <w:rsid w:val="00127B8E"/>
    <w:rsid w:val="00127CAA"/>
    <w:rsid w:val="00130243"/>
    <w:rsid w:val="00130960"/>
    <w:rsid w:val="001323A8"/>
    <w:rsid w:val="001327AB"/>
    <w:rsid w:val="0013321B"/>
    <w:rsid w:val="0013578F"/>
    <w:rsid w:val="0013585F"/>
    <w:rsid w:val="00135D8E"/>
    <w:rsid w:val="00136310"/>
    <w:rsid w:val="001417CF"/>
    <w:rsid w:val="00141C1D"/>
    <w:rsid w:val="001428E6"/>
    <w:rsid w:val="00143164"/>
    <w:rsid w:val="00143209"/>
    <w:rsid w:val="00144ECD"/>
    <w:rsid w:val="001478E0"/>
    <w:rsid w:val="00147B03"/>
    <w:rsid w:val="00150346"/>
    <w:rsid w:val="001507B4"/>
    <w:rsid w:val="001536D2"/>
    <w:rsid w:val="00154DD3"/>
    <w:rsid w:val="00156197"/>
    <w:rsid w:val="001566C9"/>
    <w:rsid w:val="00156869"/>
    <w:rsid w:val="00162C10"/>
    <w:rsid w:val="0016326A"/>
    <w:rsid w:val="001632AF"/>
    <w:rsid w:val="00166C65"/>
    <w:rsid w:val="00167CF2"/>
    <w:rsid w:val="00170654"/>
    <w:rsid w:val="00171D57"/>
    <w:rsid w:val="00172DDF"/>
    <w:rsid w:val="0017336D"/>
    <w:rsid w:val="00174932"/>
    <w:rsid w:val="001749B7"/>
    <w:rsid w:val="00174BE9"/>
    <w:rsid w:val="0017515A"/>
    <w:rsid w:val="00175F9E"/>
    <w:rsid w:val="001765E3"/>
    <w:rsid w:val="00180744"/>
    <w:rsid w:val="00180C53"/>
    <w:rsid w:val="00180C86"/>
    <w:rsid w:val="00181B87"/>
    <w:rsid w:val="0018373A"/>
    <w:rsid w:val="001844CD"/>
    <w:rsid w:val="00184701"/>
    <w:rsid w:val="00185726"/>
    <w:rsid w:val="0018673A"/>
    <w:rsid w:val="00186CC5"/>
    <w:rsid w:val="001870CC"/>
    <w:rsid w:val="001876F4"/>
    <w:rsid w:val="00192841"/>
    <w:rsid w:val="00193ECB"/>
    <w:rsid w:val="00197DCD"/>
    <w:rsid w:val="001A1574"/>
    <w:rsid w:val="001A306A"/>
    <w:rsid w:val="001A50B6"/>
    <w:rsid w:val="001A5AA3"/>
    <w:rsid w:val="001B0A3B"/>
    <w:rsid w:val="001B1452"/>
    <w:rsid w:val="001B1740"/>
    <w:rsid w:val="001B3267"/>
    <w:rsid w:val="001B4BDF"/>
    <w:rsid w:val="001B632C"/>
    <w:rsid w:val="001B6654"/>
    <w:rsid w:val="001B759A"/>
    <w:rsid w:val="001B7708"/>
    <w:rsid w:val="001C0D1F"/>
    <w:rsid w:val="001C233D"/>
    <w:rsid w:val="001C3101"/>
    <w:rsid w:val="001C31F0"/>
    <w:rsid w:val="001C3B0A"/>
    <w:rsid w:val="001C5A97"/>
    <w:rsid w:val="001C5EE0"/>
    <w:rsid w:val="001C6452"/>
    <w:rsid w:val="001D02DE"/>
    <w:rsid w:val="001D14A9"/>
    <w:rsid w:val="001D3559"/>
    <w:rsid w:val="001D4D59"/>
    <w:rsid w:val="001D536F"/>
    <w:rsid w:val="001D6226"/>
    <w:rsid w:val="001D71E8"/>
    <w:rsid w:val="001E3B74"/>
    <w:rsid w:val="001E4952"/>
    <w:rsid w:val="001E5D39"/>
    <w:rsid w:val="001E6F44"/>
    <w:rsid w:val="001E7BD2"/>
    <w:rsid w:val="001F5166"/>
    <w:rsid w:val="001F57D8"/>
    <w:rsid w:val="001F5E41"/>
    <w:rsid w:val="001F6958"/>
    <w:rsid w:val="0020046D"/>
    <w:rsid w:val="0020245C"/>
    <w:rsid w:val="002024AD"/>
    <w:rsid w:val="0020256C"/>
    <w:rsid w:val="00206047"/>
    <w:rsid w:val="00206086"/>
    <w:rsid w:val="00216109"/>
    <w:rsid w:val="0021623E"/>
    <w:rsid w:val="00216A20"/>
    <w:rsid w:val="00217B40"/>
    <w:rsid w:val="002226A1"/>
    <w:rsid w:val="00226F98"/>
    <w:rsid w:val="00226FB6"/>
    <w:rsid w:val="00230F62"/>
    <w:rsid w:val="00231AC0"/>
    <w:rsid w:val="00234C30"/>
    <w:rsid w:val="002350A5"/>
    <w:rsid w:val="00235B52"/>
    <w:rsid w:val="00236915"/>
    <w:rsid w:val="00240DA0"/>
    <w:rsid w:val="00241F4C"/>
    <w:rsid w:val="002469DD"/>
    <w:rsid w:val="0025340C"/>
    <w:rsid w:val="00253F9F"/>
    <w:rsid w:val="00257D26"/>
    <w:rsid w:val="002609C9"/>
    <w:rsid w:val="00260A03"/>
    <w:rsid w:val="0026143F"/>
    <w:rsid w:val="002620A0"/>
    <w:rsid w:val="002621A9"/>
    <w:rsid w:val="002627C3"/>
    <w:rsid w:val="00266ABC"/>
    <w:rsid w:val="00266D33"/>
    <w:rsid w:val="00267E91"/>
    <w:rsid w:val="00271813"/>
    <w:rsid w:val="002747C3"/>
    <w:rsid w:val="002763EE"/>
    <w:rsid w:val="00281D11"/>
    <w:rsid w:val="0028430D"/>
    <w:rsid w:val="00285080"/>
    <w:rsid w:val="00286610"/>
    <w:rsid w:val="00287054"/>
    <w:rsid w:val="00287FDF"/>
    <w:rsid w:val="0029252F"/>
    <w:rsid w:val="00292D14"/>
    <w:rsid w:val="002939AE"/>
    <w:rsid w:val="00293F72"/>
    <w:rsid w:val="00294CF8"/>
    <w:rsid w:val="002979E9"/>
    <w:rsid w:val="002A02A8"/>
    <w:rsid w:val="002A04EF"/>
    <w:rsid w:val="002A6A7B"/>
    <w:rsid w:val="002B042A"/>
    <w:rsid w:val="002B2B44"/>
    <w:rsid w:val="002B32C0"/>
    <w:rsid w:val="002B5630"/>
    <w:rsid w:val="002C009D"/>
    <w:rsid w:val="002C0877"/>
    <w:rsid w:val="002C445D"/>
    <w:rsid w:val="002C4AD2"/>
    <w:rsid w:val="002C5BDB"/>
    <w:rsid w:val="002C7D07"/>
    <w:rsid w:val="002D0B4A"/>
    <w:rsid w:val="002D2D4D"/>
    <w:rsid w:val="002D5F9F"/>
    <w:rsid w:val="002D6A7F"/>
    <w:rsid w:val="002D6E80"/>
    <w:rsid w:val="002D77A2"/>
    <w:rsid w:val="002E00A1"/>
    <w:rsid w:val="002E06A4"/>
    <w:rsid w:val="002E0A2C"/>
    <w:rsid w:val="002E1E30"/>
    <w:rsid w:val="002E22A2"/>
    <w:rsid w:val="002E2805"/>
    <w:rsid w:val="002E3CF8"/>
    <w:rsid w:val="002E4BCB"/>
    <w:rsid w:val="002E5C1F"/>
    <w:rsid w:val="002E5FF6"/>
    <w:rsid w:val="002E6823"/>
    <w:rsid w:val="002E6848"/>
    <w:rsid w:val="002F6CA1"/>
    <w:rsid w:val="002F7717"/>
    <w:rsid w:val="002F77BC"/>
    <w:rsid w:val="003006B1"/>
    <w:rsid w:val="0030136A"/>
    <w:rsid w:val="003019BC"/>
    <w:rsid w:val="003039F6"/>
    <w:rsid w:val="00303AC4"/>
    <w:rsid w:val="00303DC0"/>
    <w:rsid w:val="00303EB4"/>
    <w:rsid w:val="00304D4D"/>
    <w:rsid w:val="003056E9"/>
    <w:rsid w:val="00305EF3"/>
    <w:rsid w:val="00305FAF"/>
    <w:rsid w:val="00312BB9"/>
    <w:rsid w:val="00316A08"/>
    <w:rsid w:val="00320722"/>
    <w:rsid w:val="003207B3"/>
    <w:rsid w:val="0032114B"/>
    <w:rsid w:val="0032368F"/>
    <w:rsid w:val="00323915"/>
    <w:rsid w:val="00325350"/>
    <w:rsid w:val="003253EA"/>
    <w:rsid w:val="00330716"/>
    <w:rsid w:val="00330F82"/>
    <w:rsid w:val="003328F2"/>
    <w:rsid w:val="003332F4"/>
    <w:rsid w:val="003344B4"/>
    <w:rsid w:val="0034145A"/>
    <w:rsid w:val="00342441"/>
    <w:rsid w:val="003444A0"/>
    <w:rsid w:val="003454E5"/>
    <w:rsid w:val="0034595A"/>
    <w:rsid w:val="00345C1B"/>
    <w:rsid w:val="0034723C"/>
    <w:rsid w:val="00351673"/>
    <w:rsid w:val="00352BEA"/>
    <w:rsid w:val="00354CD5"/>
    <w:rsid w:val="003577B4"/>
    <w:rsid w:val="003606AE"/>
    <w:rsid w:val="003609C1"/>
    <w:rsid w:val="003611D5"/>
    <w:rsid w:val="00361656"/>
    <w:rsid w:val="00362437"/>
    <w:rsid w:val="003630D5"/>
    <w:rsid w:val="0036628F"/>
    <w:rsid w:val="00366606"/>
    <w:rsid w:val="00366758"/>
    <w:rsid w:val="0036745E"/>
    <w:rsid w:val="003723CA"/>
    <w:rsid w:val="00374A5B"/>
    <w:rsid w:val="003758D5"/>
    <w:rsid w:val="00376A89"/>
    <w:rsid w:val="00376AEA"/>
    <w:rsid w:val="00376AF0"/>
    <w:rsid w:val="00381749"/>
    <w:rsid w:val="003839E9"/>
    <w:rsid w:val="00384193"/>
    <w:rsid w:val="00386250"/>
    <w:rsid w:val="003872DB"/>
    <w:rsid w:val="00390D09"/>
    <w:rsid w:val="003920CF"/>
    <w:rsid w:val="00392E61"/>
    <w:rsid w:val="00394AF1"/>
    <w:rsid w:val="00394C5F"/>
    <w:rsid w:val="00394D30"/>
    <w:rsid w:val="0039509F"/>
    <w:rsid w:val="00396887"/>
    <w:rsid w:val="00396C6B"/>
    <w:rsid w:val="003A51AD"/>
    <w:rsid w:val="003A51FC"/>
    <w:rsid w:val="003A591D"/>
    <w:rsid w:val="003A77E0"/>
    <w:rsid w:val="003B106A"/>
    <w:rsid w:val="003B2827"/>
    <w:rsid w:val="003B2A4C"/>
    <w:rsid w:val="003B3A41"/>
    <w:rsid w:val="003B412F"/>
    <w:rsid w:val="003B4A69"/>
    <w:rsid w:val="003B59E8"/>
    <w:rsid w:val="003B6578"/>
    <w:rsid w:val="003C0AA5"/>
    <w:rsid w:val="003C1785"/>
    <w:rsid w:val="003C3E11"/>
    <w:rsid w:val="003C4047"/>
    <w:rsid w:val="003C4F5A"/>
    <w:rsid w:val="003C5225"/>
    <w:rsid w:val="003C52C2"/>
    <w:rsid w:val="003C64A3"/>
    <w:rsid w:val="003D21D8"/>
    <w:rsid w:val="003E04C1"/>
    <w:rsid w:val="003E13E4"/>
    <w:rsid w:val="003E400E"/>
    <w:rsid w:val="003E4A17"/>
    <w:rsid w:val="003E4FE8"/>
    <w:rsid w:val="003F21F1"/>
    <w:rsid w:val="003F36B9"/>
    <w:rsid w:val="003F3A3A"/>
    <w:rsid w:val="003F603C"/>
    <w:rsid w:val="003F60B4"/>
    <w:rsid w:val="004038DF"/>
    <w:rsid w:val="00410808"/>
    <w:rsid w:val="00410BB8"/>
    <w:rsid w:val="004126C0"/>
    <w:rsid w:val="00413712"/>
    <w:rsid w:val="00414F67"/>
    <w:rsid w:val="00422243"/>
    <w:rsid w:val="00422904"/>
    <w:rsid w:val="00422F84"/>
    <w:rsid w:val="00433A1B"/>
    <w:rsid w:val="004350BB"/>
    <w:rsid w:val="004362BE"/>
    <w:rsid w:val="0043739E"/>
    <w:rsid w:val="004376D4"/>
    <w:rsid w:val="0043789A"/>
    <w:rsid w:val="0044283B"/>
    <w:rsid w:val="004428CC"/>
    <w:rsid w:val="00442CEC"/>
    <w:rsid w:val="00445FCD"/>
    <w:rsid w:val="0044610A"/>
    <w:rsid w:val="00447826"/>
    <w:rsid w:val="00452644"/>
    <w:rsid w:val="004544D8"/>
    <w:rsid w:val="00454CB3"/>
    <w:rsid w:val="00456AFD"/>
    <w:rsid w:val="00457029"/>
    <w:rsid w:val="00457E5A"/>
    <w:rsid w:val="0046029E"/>
    <w:rsid w:val="004605C1"/>
    <w:rsid w:val="00460755"/>
    <w:rsid w:val="00462AA2"/>
    <w:rsid w:val="0047239A"/>
    <w:rsid w:val="00473AD3"/>
    <w:rsid w:val="00473E25"/>
    <w:rsid w:val="00476E39"/>
    <w:rsid w:val="00480580"/>
    <w:rsid w:val="00480A6A"/>
    <w:rsid w:val="004848F6"/>
    <w:rsid w:val="00485DCE"/>
    <w:rsid w:val="00490292"/>
    <w:rsid w:val="004903C8"/>
    <w:rsid w:val="004914DC"/>
    <w:rsid w:val="0049300B"/>
    <w:rsid w:val="004931B5"/>
    <w:rsid w:val="004931DF"/>
    <w:rsid w:val="004954D1"/>
    <w:rsid w:val="0049585F"/>
    <w:rsid w:val="00496808"/>
    <w:rsid w:val="004A0240"/>
    <w:rsid w:val="004A13FA"/>
    <w:rsid w:val="004A336E"/>
    <w:rsid w:val="004A387A"/>
    <w:rsid w:val="004A64B1"/>
    <w:rsid w:val="004A71DD"/>
    <w:rsid w:val="004A7F93"/>
    <w:rsid w:val="004B0BD1"/>
    <w:rsid w:val="004B2E87"/>
    <w:rsid w:val="004B380D"/>
    <w:rsid w:val="004B54C4"/>
    <w:rsid w:val="004B6530"/>
    <w:rsid w:val="004C16AF"/>
    <w:rsid w:val="004C16B2"/>
    <w:rsid w:val="004C1B1E"/>
    <w:rsid w:val="004C5138"/>
    <w:rsid w:val="004C6472"/>
    <w:rsid w:val="004C6841"/>
    <w:rsid w:val="004C6BD2"/>
    <w:rsid w:val="004D4E74"/>
    <w:rsid w:val="004D52E9"/>
    <w:rsid w:val="004D70F0"/>
    <w:rsid w:val="004E10D7"/>
    <w:rsid w:val="004E1CF8"/>
    <w:rsid w:val="004E3272"/>
    <w:rsid w:val="004E3B4B"/>
    <w:rsid w:val="004E5100"/>
    <w:rsid w:val="004E7F79"/>
    <w:rsid w:val="004F13BB"/>
    <w:rsid w:val="004F1AD8"/>
    <w:rsid w:val="004F3042"/>
    <w:rsid w:val="0050031E"/>
    <w:rsid w:val="005014EA"/>
    <w:rsid w:val="00502734"/>
    <w:rsid w:val="00502A69"/>
    <w:rsid w:val="00504AFC"/>
    <w:rsid w:val="00504E9A"/>
    <w:rsid w:val="00505C24"/>
    <w:rsid w:val="005068D7"/>
    <w:rsid w:val="00511011"/>
    <w:rsid w:val="00512263"/>
    <w:rsid w:val="0051245B"/>
    <w:rsid w:val="00513E21"/>
    <w:rsid w:val="00514426"/>
    <w:rsid w:val="0051624A"/>
    <w:rsid w:val="0051676C"/>
    <w:rsid w:val="00517D90"/>
    <w:rsid w:val="00526088"/>
    <w:rsid w:val="00526BC4"/>
    <w:rsid w:val="00527DAF"/>
    <w:rsid w:val="00531965"/>
    <w:rsid w:val="00532E08"/>
    <w:rsid w:val="005358F8"/>
    <w:rsid w:val="0054063F"/>
    <w:rsid w:val="00541DA0"/>
    <w:rsid w:val="00542B0F"/>
    <w:rsid w:val="00543639"/>
    <w:rsid w:val="00543872"/>
    <w:rsid w:val="005514E7"/>
    <w:rsid w:val="00551836"/>
    <w:rsid w:val="0055201F"/>
    <w:rsid w:val="0055205A"/>
    <w:rsid w:val="005535AF"/>
    <w:rsid w:val="005565E8"/>
    <w:rsid w:val="005606D8"/>
    <w:rsid w:val="00561214"/>
    <w:rsid w:val="00561559"/>
    <w:rsid w:val="00562A1E"/>
    <w:rsid w:val="0056563E"/>
    <w:rsid w:val="00566593"/>
    <w:rsid w:val="00567ECC"/>
    <w:rsid w:val="005741AD"/>
    <w:rsid w:val="00574EB7"/>
    <w:rsid w:val="00575582"/>
    <w:rsid w:val="00575B57"/>
    <w:rsid w:val="00576993"/>
    <w:rsid w:val="00577B84"/>
    <w:rsid w:val="00577E66"/>
    <w:rsid w:val="00583F69"/>
    <w:rsid w:val="00586E5F"/>
    <w:rsid w:val="005877C4"/>
    <w:rsid w:val="005949D0"/>
    <w:rsid w:val="00595139"/>
    <w:rsid w:val="005A09E8"/>
    <w:rsid w:val="005A35D6"/>
    <w:rsid w:val="005A386E"/>
    <w:rsid w:val="005A3F29"/>
    <w:rsid w:val="005A4086"/>
    <w:rsid w:val="005A41D9"/>
    <w:rsid w:val="005A59CC"/>
    <w:rsid w:val="005A5A4A"/>
    <w:rsid w:val="005A6879"/>
    <w:rsid w:val="005B2137"/>
    <w:rsid w:val="005B22CB"/>
    <w:rsid w:val="005B5078"/>
    <w:rsid w:val="005C35F8"/>
    <w:rsid w:val="005C3A09"/>
    <w:rsid w:val="005C527A"/>
    <w:rsid w:val="005C603B"/>
    <w:rsid w:val="005C60A7"/>
    <w:rsid w:val="005C6D7D"/>
    <w:rsid w:val="005C6D98"/>
    <w:rsid w:val="005D0ECC"/>
    <w:rsid w:val="005D170B"/>
    <w:rsid w:val="005D21A6"/>
    <w:rsid w:val="005D27A4"/>
    <w:rsid w:val="005D2A19"/>
    <w:rsid w:val="005D5A3D"/>
    <w:rsid w:val="005D730F"/>
    <w:rsid w:val="005E0940"/>
    <w:rsid w:val="005E2359"/>
    <w:rsid w:val="005E2F8B"/>
    <w:rsid w:val="005E3B68"/>
    <w:rsid w:val="005E424E"/>
    <w:rsid w:val="005E55D3"/>
    <w:rsid w:val="005E753A"/>
    <w:rsid w:val="005F0092"/>
    <w:rsid w:val="005F0FF2"/>
    <w:rsid w:val="005F2996"/>
    <w:rsid w:val="005F3ADC"/>
    <w:rsid w:val="005F4B6D"/>
    <w:rsid w:val="005F5DB3"/>
    <w:rsid w:val="005F6923"/>
    <w:rsid w:val="005F7CB6"/>
    <w:rsid w:val="0060728B"/>
    <w:rsid w:val="00610562"/>
    <w:rsid w:val="00610A7E"/>
    <w:rsid w:val="00611208"/>
    <w:rsid w:val="006112E5"/>
    <w:rsid w:val="006113CB"/>
    <w:rsid w:val="006117D8"/>
    <w:rsid w:val="00613205"/>
    <w:rsid w:val="006137D0"/>
    <w:rsid w:val="00615524"/>
    <w:rsid w:val="0062087E"/>
    <w:rsid w:val="006229C6"/>
    <w:rsid w:val="00623954"/>
    <w:rsid w:val="00625FDD"/>
    <w:rsid w:val="00626516"/>
    <w:rsid w:val="006323F3"/>
    <w:rsid w:val="00633585"/>
    <w:rsid w:val="00633895"/>
    <w:rsid w:val="006343DA"/>
    <w:rsid w:val="00635FB0"/>
    <w:rsid w:val="006360BE"/>
    <w:rsid w:val="00636DD0"/>
    <w:rsid w:val="00640334"/>
    <w:rsid w:val="00641371"/>
    <w:rsid w:val="00641432"/>
    <w:rsid w:val="00642CDA"/>
    <w:rsid w:val="006445E2"/>
    <w:rsid w:val="00650A21"/>
    <w:rsid w:val="00653329"/>
    <w:rsid w:val="00653ED4"/>
    <w:rsid w:val="00654475"/>
    <w:rsid w:val="00655594"/>
    <w:rsid w:val="006557AD"/>
    <w:rsid w:val="0065689B"/>
    <w:rsid w:val="00657E22"/>
    <w:rsid w:val="00661DF0"/>
    <w:rsid w:val="00664B7D"/>
    <w:rsid w:val="00667310"/>
    <w:rsid w:val="00670114"/>
    <w:rsid w:val="006727EF"/>
    <w:rsid w:val="006826E5"/>
    <w:rsid w:val="00684824"/>
    <w:rsid w:val="006857BD"/>
    <w:rsid w:val="00686CCC"/>
    <w:rsid w:val="00686DA4"/>
    <w:rsid w:val="00690124"/>
    <w:rsid w:val="00690954"/>
    <w:rsid w:val="0069537B"/>
    <w:rsid w:val="006965EF"/>
    <w:rsid w:val="00696760"/>
    <w:rsid w:val="006A1286"/>
    <w:rsid w:val="006A2F00"/>
    <w:rsid w:val="006A3CE4"/>
    <w:rsid w:val="006A714B"/>
    <w:rsid w:val="006A7CAF"/>
    <w:rsid w:val="006B0BDC"/>
    <w:rsid w:val="006B1017"/>
    <w:rsid w:val="006B5964"/>
    <w:rsid w:val="006B76A5"/>
    <w:rsid w:val="006C2633"/>
    <w:rsid w:val="006C3C02"/>
    <w:rsid w:val="006C549A"/>
    <w:rsid w:val="006D2363"/>
    <w:rsid w:val="006D2B7D"/>
    <w:rsid w:val="006E1493"/>
    <w:rsid w:val="006E18CB"/>
    <w:rsid w:val="006E1A40"/>
    <w:rsid w:val="006E2C6A"/>
    <w:rsid w:val="006F04B7"/>
    <w:rsid w:val="006F14B9"/>
    <w:rsid w:val="006F1694"/>
    <w:rsid w:val="006F3152"/>
    <w:rsid w:val="006F3BCC"/>
    <w:rsid w:val="006F4F37"/>
    <w:rsid w:val="006F5B84"/>
    <w:rsid w:val="0070095F"/>
    <w:rsid w:val="00701BA6"/>
    <w:rsid w:val="00701D59"/>
    <w:rsid w:val="00701F50"/>
    <w:rsid w:val="00702514"/>
    <w:rsid w:val="0071087F"/>
    <w:rsid w:val="007113AF"/>
    <w:rsid w:val="007128F2"/>
    <w:rsid w:val="00714826"/>
    <w:rsid w:val="007168F4"/>
    <w:rsid w:val="00716D50"/>
    <w:rsid w:val="00717C71"/>
    <w:rsid w:val="00722784"/>
    <w:rsid w:val="00722AB7"/>
    <w:rsid w:val="00726C56"/>
    <w:rsid w:val="00730387"/>
    <w:rsid w:val="0073207C"/>
    <w:rsid w:val="0073238B"/>
    <w:rsid w:val="00733055"/>
    <w:rsid w:val="00733A1C"/>
    <w:rsid w:val="00734E69"/>
    <w:rsid w:val="00735C99"/>
    <w:rsid w:val="00740034"/>
    <w:rsid w:val="00740595"/>
    <w:rsid w:val="00740FA3"/>
    <w:rsid w:val="00742684"/>
    <w:rsid w:val="00742B40"/>
    <w:rsid w:val="00743668"/>
    <w:rsid w:val="0075107A"/>
    <w:rsid w:val="00751AD5"/>
    <w:rsid w:val="0075335E"/>
    <w:rsid w:val="00754C99"/>
    <w:rsid w:val="0075538E"/>
    <w:rsid w:val="00756674"/>
    <w:rsid w:val="00760860"/>
    <w:rsid w:val="0076231E"/>
    <w:rsid w:val="00762EE4"/>
    <w:rsid w:val="007677BF"/>
    <w:rsid w:val="007709F5"/>
    <w:rsid w:val="00771309"/>
    <w:rsid w:val="00773C1A"/>
    <w:rsid w:val="00780D75"/>
    <w:rsid w:val="007812A1"/>
    <w:rsid w:val="00781D1C"/>
    <w:rsid w:val="00782F15"/>
    <w:rsid w:val="0078419A"/>
    <w:rsid w:val="00786A7C"/>
    <w:rsid w:val="00790DF3"/>
    <w:rsid w:val="007926D1"/>
    <w:rsid w:val="007928AF"/>
    <w:rsid w:val="0079296C"/>
    <w:rsid w:val="00794244"/>
    <w:rsid w:val="00796C85"/>
    <w:rsid w:val="007A026A"/>
    <w:rsid w:val="007A7EDB"/>
    <w:rsid w:val="007B0E0F"/>
    <w:rsid w:val="007B1D1D"/>
    <w:rsid w:val="007B201B"/>
    <w:rsid w:val="007B5E66"/>
    <w:rsid w:val="007B730F"/>
    <w:rsid w:val="007B7423"/>
    <w:rsid w:val="007C0414"/>
    <w:rsid w:val="007C06DD"/>
    <w:rsid w:val="007C0A84"/>
    <w:rsid w:val="007C0E80"/>
    <w:rsid w:val="007C157F"/>
    <w:rsid w:val="007C60B2"/>
    <w:rsid w:val="007C7305"/>
    <w:rsid w:val="007D0042"/>
    <w:rsid w:val="007D1211"/>
    <w:rsid w:val="007D18EB"/>
    <w:rsid w:val="007D1E82"/>
    <w:rsid w:val="007D293F"/>
    <w:rsid w:val="007D2CAE"/>
    <w:rsid w:val="007D4178"/>
    <w:rsid w:val="007D47CF"/>
    <w:rsid w:val="007D4ABB"/>
    <w:rsid w:val="007D4C97"/>
    <w:rsid w:val="007D54DB"/>
    <w:rsid w:val="007D7676"/>
    <w:rsid w:val="007E0E5B"/>
    <w:rsid w:val="007E26F9"/>
    <w:rsid w:val="007E348B"/>
    <w:rsid w:val="007E52A9"/>
    <w:rsid w:val="007E6041"/>
    <w:rsid w:val="007E671C"/>
    <w:rsid w:val="007E7044"/>
    <w:rsid w:val="007F0F3B"/>
    <w:rsid w:val="007F1477"/>
    <w:rsid w:val="007F29FB"/>
    <w:rsid w:val="007F5205"/>
    <w:rsid w:val="007F5EFC"/>
    <w:rsid w:val="008010E4"/>
    <w:rsid w:val="00801CA2"/>
    <w:rsid w:val="008042D1"/>
    <w:rsid w:val="00804BF8"/>
    <w:rsid w:val="00810ACA"/>
    <w:rsid w:val="00810BA9"/>
    <w:rsid w:val="00811A44"/>
    <w:rsid w:val="00811D32"/>
    <w:rsid w:val="00811FEA"/>
    <w:rsid w:val="0081206A"/>
    <w:rsid w:val="008123C2"/>
    <w:rsid w:val="0081343C"/>
    <w:rsid w:val="00814E8D"/>
    <w:rsid w:val="0081537C"/>
    <w:rsid w:val="008164A7"/>
    <w:rsid w:val="00817DB0"/>
    <w:rsid w:val="00820448"/>
    <w:rsid w:val="00824523"/>
    <w:rsid w:val="008256BB"/>
    <w:rsid w:val="008321D2"/>
    <w:rsid w:val="0083436C"/>
    <w:rsid w:val="00835DFA"/>
    <w:rsid w:val="00837823"/>
    <w:rsid w:val="00843A11"/>
    <w:rsid w:val="0084570C"/>
    <w:rsid w:val="00845754"/>
    <w:rsid w:val="00845A32"/>
    <w:rsid w:val="008469C0"/>
    <w:rsid w:val="00847ED9"/>
    <w:rsid w:val="008538AB"/>
    <w:rsid w:val="00856114"/>
    <w:rsid w:val="00860C6B"/>
    <w:rsid w:val="0086294C"/>
    <w:rsid w:val="008632DF"/>
    <w:rsid w:val="00865220"/>
    <w:rsid w:val="00866386"/>
    <w:rsid w:val="00867453"/>
    <w:rsid w:val="00870647"/>
    <w:rsid w:val="0087182A"/>
    <w:rsid w:val="008721F4"/>
    <w:rsid w:val="008728E3"/>
    <w:rsid w:val="008749BD"/>
    <w:rsid w:val="008750D1"/>
    <w:rsid w:val="008756A8"/>
    <w:rsid w:val="00875FB3"/>
    <w:rsid w:val="00877E02"/>
    <w:rsid w:val="00880512"/>
    <w:rsid w:val="00882CCB"/>
    <w:rsid w:val="008846ED"/>
    <w:rsid w:val="00885A2C"/>
    <w:rsid w:val="00890627"/>
    <w:rsid w:val="008914C2"/>
    <w:rsid w:val="00891C8E"/>
    <w:rsid w:val="00892BC7"/>
    <w:rsid w:val="00893C2A"/>
    <w:rsid w:val="00894CDC"/>
    <w:rsid w:val="008961F0"/>
    <w:rsid w:val="00897DBF"/>
    <w:rsid w:val="008A09DE"/>
    <w:rsid w:val="008A593B"/>
    <w:rsid w:val="008B1E94"/>
    <w:rsid w:val="008B4BCA"/>
    <w:rsid w:val="008B4CE8"/>
    <w:rsid w:val="008B6143"/>
    <w:rsid w:val="008B77E0"/>
    <w:rsid w:val="008C26C5"/>
    <w:rsid w:val="008C2853"/>
    <w:rsid w:val="008C2B37"/>
    <w:rsid w:val="008C5347"/>
    <w:rsid w:val="008C548A"/>
    <w:rsid w:val="008C5521"/>
    <w:rsid w:val="008C7F7C"/>
    <w:rsid w:val="008D0911"/>
    <w:rsid w:val="008D2721"/>
    <w:rsid w:val="008D2AD4"/>
    <w:rsid w:val="008D4121"/>
    <w:rsid w:val="008D513C"/>
    <w:rsid w:val="008D6462"/>
    <w:rsid w:val="008D77E6"/>
    <w:rsid w:val="008E04D0"/>
    <w:rsid w:val="008E1E86"/>
    <w:rsid w:val="008E23B5"/>
    <w:rsid w:val="008E2951"/>
    <w:rsid w:val="008E372E"/>
    <w:rsid w:val="008E5CDE"/>
    <w:rsid w:val="008F3404"/>
    <w:rsid w:val="008F45AA"/>
    <w:rsid w:val="008F4D59"/>
    <w:rsid w:val="008F51DE"/>
    <w:rsid w:val="008F7071"/>
    <w:rsid w:val="00903060"/>
    <w:rsid w:val="009031D3"/>
    <w:rsid w:val="00904334"/>
    <w:rsid w:val="00904F16"/>
    <w:rsid w:val="00905671"/>
    <w:rsid w:val="009110E3"/>
    <w:rsid w:val="009146DC"/>
    <w:rsid w:val="00915E5E"/>
    <w:rsid w:val="00916879"/>
    <w:rsid w:val="00916CF6"/>
    <w:rsid w:val="00920D8E"/>
    <w:rsid w:val="0092190C"/>
    <w:rsid w:val="0092193E"/>
    <w:rsid w:val="00921A4F"/>
    <w:rsid w:val="009227D1"/>
    <w:rsid w:val="009249B1"/>
    <w:rsid w:val="009254A2"/>
    <w:rsid w:val="009265F4"/>
    <w:rsid w:val="009305BA"/>
    <w:rsid w:val="00931A04"/>
    <w:rsid w:val="009342DD"/>
    <w:rsid w:val="009348CC"/>
    <w:rsid w:val="009362D5"/>
    <w:rsid w:val="009370D8"/>
    <w:rsid w:val="009375CA"/>
    <w:rsid w:val="00937A72"/>
    <w:rsid w:val="00941D6C"/>
    <w:rsid w:val="00942C9E"/>
    <w:rsid w:val="009433C4"/>
    <w:rsid w:val="00943D04"/>
    <w:rsid w:val="0094531E"/>
    <w:rsid w:val="0094587C"/>
    <w:rsid w:val="0094685E"/>
    <w:rsid w:val="0094696F"/>
    <w:rsid w:val="0095530B"/>
    <w:rsid w:val="009557FD"/>
    <w:rsid w:val="00957544"/>
    <w:rsid w:val="00960507"/>
    <w:rsid w:val="00961DB6"/>
    <w:rsid w:val="00962A6A"/>
    <w:rsid w:val="00964A90"/>
    <w:rsid w:val="00966002"/>
    <w:rsid w:val="00966B06"/>
    <w:rsid w:val="00970428"/>
    <w:rsid w:val="0097045C"/>
    <w:rsid w:val="00971F5F"/>
    <w:rsid w:val="00975768"/>
    <w:rsid w:val="00975A05"/>
    <w:rsid w:val="00976552"/>
    <w:rsid w:val="0097696F"/>
    <w:rsid w:val="0097706B"/>
    <w:rsid w:val="00977D83"/>
    <w:rsid w:val="00980A45"/>
    <w:rsid w:val="009813E7"/>
    <w:rsid w:val="00981B2F"/>
    <w:rsid w:val="00982EAD"/>
    <w:rsid w:val="009850B0"/>
    <w:rsid w:val="009903EA"/>
    <w:rsid w:val="00991737"/>
    <w:rsid w:val="00993012"/>
    <w:rsid w:val="00993137"/>
    <w:rsid w:val="009938C3"/>
    <w:rsid w:val="0099421F"/>
    <w:rsid w:val="00994E0B"/>
    <w:rsid w:val="00995642"/>
    <w:rsid w:val="009957DB"/>
    <w:rsid w:val="00997718"/>
    <w:rsid w:val="009A269F"/>
    <w:rsid w:val="009A3AFE"/>
    <w:rsid w:val="009A472C"/>
    <w:rsid w:val="009A5739"/>
    <w:rsid w:val="009A7ED6"/>
    <w:rsid w:val="009B0A8F"/>
    <w:rsid w:val="009B18D6"/>
    <w:rsid w:val="009B2231"/>
    <w:rsid w:val="009B6665"/>
    <w:rsid w:val="009C0B1D"/>
    <w:rsid w:val="009C0CA5"/>
    <w:rsid w:val="009C1D3E"/>
    <w:rsid w:val="009C4753"/>
    <w:rsid w:val="009C5108"/>
    <w:rsid w:val="009C57E7"/>
    <w:rsid w:val="009C60E2"/>
    <w:rsid w:val="009C620A"/>
    <w:rsid w:val="009C6DC3"/>
    <w:rsid w:val="009D1674"/>
    <w:rsid w:val="009D1ADE"/>
    <w:rsid w:val="009D1E6A"/>
    <w:rsid w:val="009D20F9"/>
    <w:rsid w:val="009D2D5C"/>
    <w:rsid w:val="009D3902"/>
    <w:rsid w:val="009D4057"/>
    <w:rsid w:val="009D5114"/>
    <w:rsid w:val="009D5C04"/>
    <w:rsid w:val="009D6290"/>
    <w:rsid w:val="009D7707"/>
    <w:rsid w:val="009D7CEE"/>
    <w:rsid w:val="009E46DE"/>
    <w:rsid w:val="009E5F91"/>
    <w:rsid w:val="009E7E5F"/>
    <w:rsid w:val="009F0AE7"/>
    <w:rsid w:val="009F17D2"/>
    <w:rsid w:val="009F1CA9"/>
    <w:rsid w:val="009F28F8"/>
    <w:rsid w:val="009F58A0"/>
    <w:rsid w:val="009F5AEB"/>
    <w:rsid w:val="009F6A88"/>
    <w:rsid w:val="009F6A95"/>
    <w:rsid w:val="009F7492"/>
    <w:rsid w:val="00A01130"/>
    <w:rsid w:val="00A0182E"/>
    <w:rsid w:val="00A03095"/>
    <w:rsid w:val="00A03122"/>
    <w:rsid w:val="00A03AF6"/>
    <w:rsid w:val="00A10E08"/>
    <w:rsid w:val="00A119F2"/>
    <w:rsid w:val="00A11FA4"/>
    <w:rsid w:val="00A160AA"/>
    <w:rsid w:val="00A17C34"/>
    <w:rsid w:val="00A222AD"/>
    <w:rsid w:val="00A2241E"/>
    <w:rsid w:val="00A22DA9"/>
    <w:rsid w:val="00A23C1D"/>
    <w:rsid w:val="00A2629C"/>
    <w:rsid w:val="00A304B5"/>
    <w:rsid w:val="00A308D4"/>
    <w:rsid w:val="00A30A4F"/>
    <w:rsid w:val="00A31BB1"/>
    <w:rsid w:val="00A32188"/>
    <w:rsid w:val="00A34ABB"/>
    <w:rsid w:val="00A402A4"/>
    <w:rsid w:val="00A404C2"/>
    <w:rsid w:val="00A460F1"/>
    <w:rsid w:val="00A46A68"/>
    <w:rsid w:val="00A47094"/>
    <w:rsid w:val="00A51A3F"/>
    <w:rsid w:val="00A540B6"/>
    <w:rsid w:val="00A57A9C"/>
    <w:rsid w:val="00A60D6B"/>
    <w:rsid w:val="00A63817"/>
    <w:rsid w:val="00A651D4"/>
    <w:rsid w:val="00A6540B"/>
    <w:rsid w:val="00A66263"/>
    <w:rsid w:val="00A66CB1"/>
    <w:rsid w:val="00A67129"/>
    <w:rsid w:val="00A72154"/>
    <w:rsid w:val="00A729A0"/>
    <w:rsid w:val="00A753A0"/>
    <w:rsid w:val="00A769AB"/>
    <w:rsid w:val="00A769C6"/>
    <w:rsid w:val="00A776CC"/>
    <w:rsid w:val="00A82C99"/>
    <w:rsid w:val="00A85743"/>
    <w:rsid w:val="00A86876"/>
    <w:rsid w:val="00A87FCD"/>
    <w:rsid w:val="00A903C5"/>
    <w:rsid w:val="00A92013"/>
    <w:rsid w:val="00A92228"/>
    <w:rsid w:val="00A92A09"/>
    <w:rsid w:val="00A92CE3"/>
    <w:rsid w:val="00A93CCC"/>
    <w:rsid w:val="00A96352"/>
    <w:rsid w:val="00AA237B"/>
    <w:rsid w:val="00AA376E"/>
    <w:rsid w:val="00AA426F"/>
    <w:rsid w:val="00AA7898"/>
    <w:rsid w:val="00AB37CC"/>
    <w:rsid w:val="00AB37ED"/>
    <w:rsid w:val="00AB3A77"/>
    <w:rsid w:val="00AB41E8"/>
    <w:rsid w:val="00AB5F81"/>
    <w:rsid w:val="00AB653B"/>
    <w:rsid w:val="00AC0167"/>
    <w:rsid w:val="00AC0D73"/>
    <w:rsid w:val="00AC2771"/>
    <w:rsid w:val="00AC3438"/>
    <w:rsid w:val="00AC3D87"/>
    <w:rsid w:val="00AC3F21"/>
    <w:rsid w:val="00AC608B"/>
    <w:rsid w:val="00AC66F0"/>
    <w:rsid w:val="00AC7C3D"/>
    <w:rsid w:val="00AC7F1B"/>
    <w:rsid w:val="00AD01D3"/>
    <w:rsid w:val="00AD04FE"/>
    <w:rsid w:val="00AD23B9"/>
    <w:rsid w:val="00AD48F2"/>
    <w:rsid w:val="00AD79A4"/>
    <w:rsid w:val="00AE1C1A"/>
    <w:rsid w:val="00AE2099"/>
    <w:rsid w:val="00AE240A"/>
    <w:rsid w:val="00AE3653"/>
    <w:rsid w:val="00AE3E1D"/>
    <w:rsid w:val="00AE5E62"/>
    <w:rsid w:val="00AF0832"/>
    <w:rsid w:val="00AF0DD2"/>
    <w:rsid w:val="00AF1C9C"/>
    <w:rsid w:val="00AF27F5"/>
    <w:rsid w:val="00AF5974"/>
    <w:rsid w:val="00AF6457"/>
    <w:rsid w:val="00B0246D"/>
    <w:rsid w:val="00B0303C"/>
    <w:rsid w:val="00B065CB"/>
    <w:rsid w:val="00B07458"/>
    <w:rsid w:val="00B07E97"/>
    <w:rsid w:val="00B116FD"/>
    <w:rsid w:val="00B11D88"/>
    <w:rsid w:val="00B171DE"/>
    <w:rsid w:val="00B17B6C"/>
    <w:rsid w:val="00B22CF9"/>
    <w:rsid w:val="00B24E66"/>
    <w:rsid w:val="00B27ED9"/>
    <w:rsid w:val="00B27EF4"/>
    <w:rsid w:val="00B304DD"/>
    <w:rsid w:val="00B31454"/>
    <w:rsid w:val="00B32597"/>
    <w:rsid w:val="00B32996"/>
    <w:rsid w:val="00B35CF7"/>
    <w:rsid w:val="00B41E19"/>
    <w:rsid w:val="00B45DC4"/>
    <w:rsid w:val="00B51B16"/>
    <w:rsid w:val="00B521D4"/>
    <w:rsid w:val="00B52372"/>
    <w:rsid w:val="00B54720"/>
    <w:rsid w:val="00B54AFB"/>
    <w:rsid w:val="00B55CB6"/>
    <w:rsid w:val="00B55CED"/>
    <w:rsid w:val="00B5731E"/>
    <w:rsid w:val="00B60BB6"/>
    <w:rsid w:val="00B61F22"/>
    <w:rsid w:val="00B62D00"/>
    <w:rsid w:val="00B62DC1"/>
    <w:rsid w:val="00B64E05"/>
    <w:rsid w:val="00B709BC"/>
    <w:rsid w:val="00B7381F"/>
    <w:rsid w:val="00B75A56"/>
    <w:rsid w:val="00B77868"/>
    <w:rsid w:val="00B803F1"/>
    <w:rsid w:val="00B8085C"/>
    <w:rsid w:val="00B81986"/>
    <w:rsid w:val="00B83944"/>
    <w:rsid w:val="00B83CA0"/>
    <w:rsid w:val="00B83D57"/>
    <w:rsid w:val="00B84296"/>
    <w:rsid w:val="00B86DAF"/>
    <w:rsid w:val="00B905AE"/>
    <w:rsid w:val="00B909CE"/>
    <w:rsid w:val="00B94849"/>
    <w:rsid w:val="00B97BB1"/>
    <w:rsid w:val="00BA02D9"/>
    <w:rsid w:val="00BA1A71"/>
    <w:rsid w:val="00BA1C2E"/>
    <w:rsid w:val="00BA2125"/>
    <w:rsid w:val="00BA49FC"/>
    <w:rsid w:val="00BA557E"/>
    <w:rsid w:val="00BA5F1E"/>
    <w:rsid w:val="00BA6978"/>
    <w:rsid w:val="00BA7AFA"/>
    <w:rsid w:val="00BB10F6"/>
    <w:rsid w:val="00BB32B6"/>
    <w:rsid w:val="00BB3305"/>
    <w:rsid w:val="00BB33FF"/>
    <w:rsid w:val="00BB50D8"/>
    <w:rsid w:val="00BB5362"/>
    <w:rsid w:val="00BB5654"/>
    <w:rsid w:val="00BB6833"/>
    <w:rsid w:val="00BB7961"/>
    <w:rsid w:val="00BC15BC"/>
    <w:rsid w:val="00BC2BF0"/>
    <w:rsid w:val="00BC5EB7"/>
    <w:rsid w:val="00BD15E2"/>
    <w:rsid w:val="00BD60F5"/>
    <w:rsid w:val="00BE0128"/>
    <w:rsid w:val="00BE09D5"/>
    <w:rsid w:val="00BE3B8D"/>
    <w:rsid w:val="00BE572F"/>
    <w:rsid w:val="00BF0517"/>
    <w:rsid w:val="00BF1C3D"/>
    <w:rsid w:val="00BF3898"/>
    <w:rsid w:val="00BF4895"/>
    <w:rsid w:val="00BF6F16"/>
    <w:rsid w:val="00C01FE3"/>
    <w:rsid w:val="00C03236"/>
    <w:rsid w:val="00C034E4"/>
    <w:rsid w:val="00C03723"/>
    <w:rsid w:val="00C03F8F"/>
    <w:rsid w:val="00C04A05"/>
    <w:rsid w:val="00C06F86"/>
    <w:rsid w:val="00C076D0"/>
    <w:rsid w:val="00C10AB8"/>
    <w:rsid w:val="00C10B84"/>
    <w:rsid w:val="00C10C8C"/>
    <w:rsid w:val="00C12054"/>
    <w:rsid w:val="00C14EF9"/>
    <w:rsid w:val="00C155B7"/>
    <w:rsid w:val="00C15BE6"/>
    <w:rsid w:val="00C164EE"/>
    <w:rsid w:val="00C238B4"/>
    <w:rsid w:val="00C23D77"/>
    <w:rsid w:val="00C266D6"/>
    <w:rsid w:val="00C2774F"/>
    <w:rsid w:val="00C30168"/>
    <w:rsid w:val="00C31B00"/>
    <w:rsid w:val="00C31F4B"/>
    <w:rsid w:val="00C333F3"/>
    <w:rsid w:val="00C33536"/>
    <w:rsid w:val="00C343B4"/>
    <w:rsid w:val="00C35C4B"/>
    <w:rsid w:val="00C3734A"/>
    <w:rsid w:val="00C52278"/>
    <w:rsid w:val="00C5410F"/>
    <w:rsid w:val="00C5472F"/>
    <w:rsid w:val="00C5530A"/>
    <w:rsid w:val="00C57287"/>
    <w:rsid w:val="00C61922"/>
    <w:rsid w:val="00C626E4"/>
    <w:rsid w:val="00C64204"/>
    <w:rsid w:val="00C664D9"/>
    <w:rsid w:val="00C67C81"/>
    <w:rsid w:val="00C67DCE"/>
    <w:rsid w:val="00C70B65"/>
    <w:rsid w:val="00C731AF"/>
    <w:rsid w:val="00C7674F"/>
    <w:rsid w:val="00C81740"/>
    <w:rsid w:val="00C853B0"/>
    <w:rsid w:val="00C85DE0"/>
    <w:rsid w:val="00C87D40"/>
    <w:rsid w:val="00C92378"/>
    <w:rsid w:val="00C9352E"/>
    <w:rsid w:val="00C943E4"/>
    <w:rsid w:val="00C95E23"/>
    <w:rsid w:val="00C95EBE"/>
    <w:rsid w:val="00CA2B04"/>
    <w:rsid w:val="00CA5A9E"/>
    <w:rsid w:val="00CB2572"/>
    <w:rsid w:val="00CC0C5E"/>
    <w:rsid w:val="00CC104E"/>
    <w:rsid w:val="00CC634B"/>
    <w:rsid w:val="00CC667D"/>
    <w:rsid w:val="00CC6941"/>
    <w:rsid w:val="00CC710D"/>
    <w:rsid w:val="00CC7CE0"/>
    <w:rsid w:val="00CD02B6"/>
    <w:rsid w:val="00CD337F"/>
    <w:rsid w:val="00CD49A6"/>
    <w:rsid w:val="00CD619D"/>
    <w:rsid w:val="00CD6BA8"/>
    <w:rsid w:val="00CD72BB"/>
    <w:rsid w:val="00CD7BF3"/>
    <w:rsid w:val="00CE05B4"/>
    <w:rsid w:val="00CE1C22"/>
    <w:rsid w:val="00CE3927"/>
    <w:rsid w:val="00CE501C"/>
    <w:rsid w:val="00CE5A0E"/>
    <w:rsid w:val="00CE6AE5"/>
    <w:rsid w:val="00CE76D0"/>
    <w:rsid w:val="00CF0DB4"/>
    <w:rsid w:val="00CF19B0"/>
    <w:rsid w:val="00CF1D42"/>
    <w:rsid w:val="00CF218A"/>
    <w:rsid w:val="00CF2AF7"/>
    <w:rsid w:val="00CF2F84"/>
    <w:rsid w:val="00CF3383"/>
    <w:rsid w:val="00CF42AA"/>
    <w:rsid w:val="00CF6709"/>
    <w:rsid w:val="00CF7A26"/>
    <w:rsid w:val="00D0150B"/>
    <w:rsid w:val="00D04A3F"/>
    <w:rsid w:val="00D052E7"/>
    <w:rsid w:val="00D06522"/>
    <w:rsid w:val="00D0793A"/>
    <w:rsid w:val="00D105A6"/>
    <w:rsid w:val="00D10CFA"/>
    <w:rsid w:val="00D11EBE"/>
    <w:rsid w:val="00D12D02"/>
    <w:rsid w:val="00D12D07"/>
    <w:rsid w:val="00D14D29"/>
    <w:rsid w:val="00D14F61"/>
    <w:rsid w:val="00D15914"/>
    <w:rsid w:val="00D20A46"/>
    <w:rsid w:val="00D20F06"/>
    <w:rsid w:val="00D215B2"/>
    <w:rsid w:val="00D22183"/>
    <w:rsid w:val="00D23415"/>
    <w:rsid w:val="00D23EDB"/>
    <w:rsid w:val="00D24F0D"/>
    <w:rsid w:val="00D25355"/>
    <w:rsid w:val="00D2572B"/>
    <w:rsid w:val="00D25833"/>
    <w:rsid w:val="00D30C82"/>
    <w:rsid w:val="00D319B8"/>
    <w:rsid w:val="00D33280"/>
    <w:rsid w:val="00D333D0"/>
    <w:rsid w:val="00D3401D"/>
    <w:rsid w:val="00D353A6"/>
    <w:rsid w:val="00D40926"/>
    <w:rsid w:val="00D42C87"/>
    <w:rsid w:val="00D446ED"/>
    <w:rsid w:val="00D45017"/>
    <w:rsid w:val="00D4693B"/>
    <w:rsid w:val="00D46D5E"/>
    <w:rsid w:val="00D5135E"/>
    <w:rsid w:val="00D5434C"/>
    <w:rsid w:val="00D545F4"/>
    <w:rsid w:val="00D57C42"/>
    <w:rsid w:val="00D6131A"/>
    <w:rsid w:val="00D62F07"/>
    <w:rsid w:val="00D63A5F"/>
    <w:rsid w:val="00D642D5"/>
    <w:rsid w:val="00D64782"/>
    <w:rsid w:val="00D67660"/>
    <w:rsid w:val="00D6778E"/>
    <w:rsid w:val="00D709B5"/>
    <w:rsid w:val="00D71797"/>
    <w:rsid w:val="00D740D4"/>
    <w:rsid w:val="00D74892"/>
    <w:rsid w:val="00D7739F"/>
    <w:rsid w:val="00D825A1"/>
    <w:rsid w:val="00D82FD1"/>
    <w:rsid w:val="00D84367"/>
    <w:rsid w:val="00D90DA1"/>
    <w:rsid w:val="00D93834"/>
    <w:rsid w:val="00D93C55"/>
    <w:rsid w:val="00D9414D"/>
    <w:rsid w:val="00DA1052"/>
    <w:rsid w:val="00DA322F"/>
    <w:rsid w:val="00DA4331"/>
    <w:rsid w:val="00DA5FE8"/>
    <w:rsid w:val="00DB35E2"/>
    <w:rsid w:val="00DB76A7"/>
    <w:rsid w:val="00DB7E82"/>
    <w:rsid w:val="00DC060B"/>
    <w:rsid w:val="00DC0610"/>
    <w:rsid w:val="00DC2FDA"/>
    <w:rsid w:val="00DC37F3"/>
    <w:rsid w:val="00DC4092"/>
    <w:rsid w:val="00DC433C"/>
    <w:rsid w:val="00DC4872"/>
    <w:rsid w:val="00DC4C87"/>
    <w:rsid w:val="00DC76FD"/>
    <w:rsid w:val="00DD0B4B"/>
    <w:rsid w:val="00DD0FAF"/>
    <w:rsid w:val="00DD2125"/>
    <w:rsid w:val="00DD2C67"/>
    <w:rsid w:val="00DD47FB"/>
    <w:rsid w:val="00DD63A7"/>
    <w:rsid w:val="00DD6DDA"/>
    <w:rsid w:val="00DE094A"/>
    <w:rsid w:val="00DE14C9"/>
    <w:rsid w:val="00DE1D54"/>
    <w:rsid w:val="00DE3B06"/>
    <w:rsid w:val="00DE5F87"/>
    <w:rsid w:val="00DE7F05"/>
    <w:rsid w:val="00DF0EA0"/>
    <w:rsid w:val="00DF2364"/>
    <w:rsid w:val="00DF2983"/>
    <w:rsid w:val="00DF4619"/>
    <w:rsid w:val="00E01741"/>
    <w:rsid w:val="00E01BA2"/>
    <w:rsid w:val="00E05383"/>
    <w:rsid w:val="00E05C4F"/>
    <w:rsid w:val="00E06FC6"/>
    <w:rsid w:val="00E070AC"/>
    <w:rsid w:val="00E0775C"/>
    <w:rsid w:val="00E1001E"/>
    <w:rsid w:val="00E1180A"/>
    <w:rsid w:val="00E1306D"/>
    <w:rsid w:val="00E15212"/>
    <w:rsid w:val="00E1608F"/>
    <w:rsid w:val="00E1773C"/>
    <w:rsid w:val="00E17E96"/>
    <w:rsid w:val="00E20283"/>
    <w:rsid w:val="00E207E4"/>
    <w:rsid w:val="00E21C30"/>
    <w:rsid w:val="00E23284"/>
    <w:rsid w:val="00E235A4"/>
    <w:rsid w:val="00E24A7A"/>
    <w:rsid w:val="00E25175"/>
    <w:rsid w:val="00E263F3"/>
    <w:rsid w:val="00E330E4"/>
    <w:rsid w:val="00E332BE"/>
    <w:rsid w:val="00E35447"/>
    <w:rsid w:val="00E36B18"/>
    <w:rsid w:val="00E37EB1"/>
    <w:rsid w:val="00E41639"/>
    <w:rsid w:val="00E41697"/>
    <w:rsid w:val="00E43033"/>
    <w:rsid w:val="00E43392"/>
    <w:rsid w:val="00E43EE2"/>
    <w:rsid w:val="00E45A72"/>
    <w:rsid w:val="00E465B4"/>
    <w:rsid w:val="00E535C2"/>
    <w:rsid w:val="00E568EE"/>
    <w:rsid w:val="00E56B18"/>
    <w:rsid w:val="00E56E3C"/>
    <w:rsid w:val="00E577AF"/>
    <w:rsid w:val="00E607E1"/>
    <w:rsid w:val="00E614D1"/>
    <w:rsid w:val="00E622A6"/>
    <w:rsid w:val="00E64284"/>
    <w:rsid w:val="00E6429D"/>
    <w:rsid w:val="00E67EAE"/>
    <w:rsid w:val="00E708C8"/>
    <w:rsid w:val="00E726BC"/>
    <w:rsid w:val="00E72BEF"/>
    <w:rsid w:val="00E73720"/>
    <w:rsid w:val="00E738E7"/>
    <w:rsid w:val="00E74EE8"/>
    <w:rsid w:val="00E764D7"/>
    <w:rsid w:val="00E80588"/>
    <w:rsid w:val="00E82874"/>
    <w:rsid w:val="00E836CC"/>
    <w:rsid w:val="00E851AA"/>
    <w:rsid w:val="00E87937"/>
    <w:rsid w:val="00E900A2"/>
    <w:rsid w:val="00E90E52"/>
    <w:rsid w:val="00E9184E"/>
    <w:rsid w:val="00EA08C0"/>
    <w:rsid w:val="00EA11A6"/>
    <w:rsid w:val="00EA13DC"/>
    <w:rsid w:val="00EA2CEA"/>
    <w:rsid w:val="00EA3BB4"/>
    <w:rsid w:val="00EA537F"/>
    <w:rsid w:val="00EA5560"/>
    <w:rsid w:val="00EA6856"/>
    <w:rsid w:val="00EB0E2C"/>
    <w:rsid w:val="00EB20EB"/>
    <w:rsid w:val="00EB29C5"/>
    <w:rsid w:val="00EB333A"/>
    <w:rsid w:val="00EB4139"/>
    <w:rsid w:val="00EB417A"/>
    <w:rsid w:val="00EB4217"/>
    <w:rsid w:val="00EB4EA5"/>
    <w:rsid w:val="00EB5318"/>
    <w:rsid w:val="00EB6A5D"/>
    <w:rsid w:val="00EB6DE6"/>
    <w:rsid w:val="00EB7754"/>
    <w:rsid w:val="00EB78DA"/>
    <w:rsid w:val="00EB7969"/>
    <w:rsid w:val="00EC013C"/>
    <w:rsid w:val="00EC1420"/>
    <w:rsid w:val="00EC27AF"/>
    <w:rsid w:val="00ED0112"/>
    <w:rsid w:val="00ED1292"/>
    <w:rsid w:val="00ED13B1"/>
    <w:rsid w:val="00ED1C28"/>
    <w:rsid w:val="00ED288F"/>
    <w:rsid w:val="00ED4CC5"/>
    <w:rsid w:val="00ED66F7"/>
    <w:rsid w:val="00EE11FC"/>
    <w:rsid w:val="00EE2607"/>
    <w:rsid w:val="00EE65ED"/>
    <w:rsid w:val="00EE6828"/>
    <w:rsid w:val="00EE6902"/>
    <w:rsid w:val="00EF521D"/>
    <w:rsid w:val="00EF7EC3"/>
    <w:rsid w:val="00F01E3C"/>
    <w:rsid w:val="00F04100"/>
    <w:rsid w:val="00F052A6"/>
    <w:rsid w:val="00F052C0"/>
    <w:rsid w:val="00F0550F"/>
    <w:rsid w:val="00F1335B"/>
    <w:rsid w:val="00F13818"/>
    <w:rsid w:val="00F1552D"/>
    <w:rsid w:val="00F1557B"/>
    <w:rsid w:val="00F1657E"/>
    <w:rsid w:val="00F16A78"/>
    <w:rsid w:val="00F16E3B"/>
    <w:rsid w:val="00F22539"/>
    <w:rsid w:val="00F22858"/>
    <w:rsid w:val="00F22D07"/>
    <w:rsid w:val="00F24974"/>
    <w:rsid w:val="00F25BB1"/>
    <w:rsid w:val="00F2656A"/>
    <w:rsid w:val="00F27CEF"/>
    <w:rsid w:val="00F31EB6"/>
    <w:rsid w:val="00F329FF"/>
    <w:rsid w:val="00F332F8"/>
    <w:rsid w:val="00F364F7"/>
    <w:rsid w:val="00F37353"/>
    <w:rsid w:val="00F41050"/>
    <w:rsid w:val="00F411BF"/>
    <w:rsid w:val="00F41861"/>
    <w:rsid w:val="00F42FC8"/>
    <w:rsid w:val="00F4405B"/>
    <w:rsid w:val="00F4463C"/>
    <w:rsid w:val="00F4603E"/>
    <w:rsid w:val="00F460F0"/>
    <w:rsid w:val="00F50116"/>
    <w:rsid w:val="00F524EB"/>
    <w:rsid w:val="00F52531"/>
    <w:rsid w:val="00F533C3"/>
    <w:rsid w:val="00F55256"/>
    <w:rsid w:val="00F56173"/>
    <w:rsid w:val="00F570B3"/>
    <w:rsid w:val="00F6068A"/>
    <w:rsid w:val="00F6079E"/>
    <w:rsid w:val="00F61E3B"/>
    <w:rsid w:val="00F638B3"/>
    <w:rsid w:val="00F6462C"/>
    <w:rsid w:val="00F66AF6"/>
    <w:rsid w:val="00F6773F"/>
    <w:rsid w:val="00F678C9"/>
    <w:rsid w:val="00F728F2"/>
    <w:rsid w:val="00F728FC"/>
    <w:rsid w:val="00F75954"/>
    <w:rsid w:val="00F75A7D"/>
    <w:rsid w:val="00F77885"/>
    <w:rsid w:val="00F804AD"/>
    <w:rsid w:val="00F81C63"/>
    <w:rsid w:val="00F8253D"/>
    <w:rsid w:val="00F842A7"/>
    <w:rsid w:val="00F84C4E"/>
    <w:rsid w:val="00F855A7"/>
    <w:rsid w:val="00F878CF"/>
    <w:rsid w:val="00F917D1"/>
    <w:rsid w:val="00F92A9A"/>
    <w:rsid w:val="00F92C0A"/>
    <w:rsid w:val="00F942C0"/>
    <w:rsid w:val="00F97749"/>
    <w:rsid w:val="00F97795"/>
    <w:rsid w:val="00F97DAC"/>
    <w:rsid w:val="00FA2893"/>
    <w:rsid w:val="00FA381E"/>
    <w:rsid w:val="00FA3AD8"/>
    <w:rsid w:val="00FA5083"/>
    <w:rsid w:val="00FA512D"/>
    <w:rsid w:val="00FA60AB"/>
    <w:rsid w:val="00FB0AF6"/>
    <w:rsid w:val="00FB0AFF"/>
    <w:rsid w:val="00FB1243"/>
    <w:rsid w:val="00FB16F3"/>
    <w:rsid w:val="00FB237F"/>
    <w:rsid w:val="00FB2C67"/>
    <w:rsid w:val="00FB2F08"/>
    <w:rsid w:val="00FB35EF"/>
    <w:rsid w:val="00FB3FCF"/>
    <w:rsid w:val="00FB5480"/>
    <w:rsid w:val="00FB7424"/>
    <w:rsid w:val="00FB7DE2"/>
    <w:rsid w:val="00FC0E3F"/>
    <w:rsid w:val="00FC18CC"/>
    <w:rsid w:val="00FC2CFF"/>
    <w:rsid w:val="00FC54B3"/>
    <w:rsid w:val="00FC5850"/>
    <w:rsid w:val="00FC5EDB"/>
    <w:rsid w:val="00FC73AB"/>
    <w:rsid w:val="00FC7D4C"/>
    <w:rsid w:val="00FD03C0"/>
    <w:rsid w:val="00FD3A07"/>
    <w:rsid w:val="00FD4284"/>
    <w:rsid w:val="00FD47B4"/>
    <w:rsid w:val="00FD67B9"/>
    <w:rsid w:val="00FE0E55"/>
    <w:rsid w:val="00FE43E9"/>
    <w:rsid w:val="00FE69E9"/>
    <w:rsid w:val="00FE6F9A"/>
    <w:rsid w:val="00FE7102"/>
    <w:rsid w:val="00FF3FF1"/>
    <w:rsid w:val="00FF4C23"/>
    <w:rsid w:val="00FF5267"/>
    <w:rsid w:val="00FF6C47"/>
    <w:rsid w:val="00FF79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hapeDefaults>
    <o:shapedefaults v:ext="edit" spidmax="6145">
      <o:colormru v:ext="edit" colors="#ddd,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475"/>
    <w:rPr>
      <w:rFonts w:ascii="Arial" w:hAnsi="Arial"/>
      <w:sz w:val="24"/>
    </w:rPr>
  </w:style>
  <w:style w:type="paragraph" w:styleId="Heading1">
    <w:name w:val="heading 1"/>
    <w:basedOn w:val="Normal"/>
    <w:next w:val="Normal"/>
    <w:link w:val="Heading1Char"/>
    <w:qFormat/>
    <w:rsid w:val="00FB2C67"/>
    <w:pPr>
      <w:keepNext/>
      <w:spacing w:before="240" w:after="60"/>
      <w:outlineLvl w:val="0"/>
    </w:pPr>
    <w:rPr>
      <w:b/>
      <w:kern w:val="28"/>
      <w:sz w:val="28"/>
    </w:rPr>
  </w:style>
  <w:style w:type="paragraph" w:styleId="Heading2">
    <w:name w:val="heading 2"/>
    <w:basedOn w:val="Normal"/>
    <w:next w:val="Normal"/>
    <w:qFormat/>
    <w:rsid w:val="00FB2C67"/>
    <w:pPr>
      <w:keepNext/>
      <w:shd w:val="pct10" w:color="auto" w:fill="auto"/>
      <w:ind w:left="2880" w:right="2340"/>
      <w:jc w:val="center"/>
      <w:outlineLvl w:val="1"/>
    </w:pPr>
    <w:rPr>
      <w:b/>
      <w:u w:val="single"/>
    </w:rPr>
  </w:style>
  <w:style w:type="paragraph" w:styleId="Heading3">
    <w:name w:val="heading 3"/>
    <w:basedOn w:val="Normal"/>
    <w:next w:val="Normal"/>
    <w:link w:val="Heading3Char"/>
    <w:qFormat/>
    <w:rsid w:val="00FB2C67"/>
    <w:pPr>
      <w:keepNext/>
      <w:outlineLvl w:val="2"/>
    </w:pPr>
    <w:rPr>
      <w:b/>
      <w:i/>
      <w:snapToGrid w:val="0"/>
      <w:sz w:val="28"/>
      <w:u w:val="single"/>
      <w:lang w:eastAsia="en-US"/>
    </w:rPr>
  </w:style>
  <w:style w:type="paragraph" w:styleId="Heading4">
    <w:name w:val="heading 4"/>
    <w:basedOn w:val="Normal"/>
    <w:next w:val="Normal"/>
    <w:link w:val="Heading4Char"/>
    <w:qFormat/>
    <w:rsid w:val="00FB2C67"/>
    <w:pPr>
      <w:keepNext/>
      <w:outlineLvl w:val="3"/>
    </w:pPr>
    <w:rPr>
      <w:b/>
      <w:snapToGrid w:val="0"/>
      <w:u w:val="single"/>
      <w:lang w:eastAsia="en-US"/>
    </w:rPr>
  </w:style>
  <w:style w:type="paragraph" w:styleId="Heading5">
    <w:name w:val="heading 5"/>
    <w:basedOn w:val="Normal"/>
    <w:next w:val="Normal"/>
    <w:link w:val="Heading5Char"/>
    <w:qFormat/>
    <w:rsid w:val="00FB2C67"/>
    <w:pPr>
      <w:keepNext/>
      <w:outlineLvl w:val="4"/>
    </w:pPr>
    <w:rPr>
      <w:rFonts w:ascii="Univers" w:hAnsi="Univers"/>
      <w:b/>
      <w:u w:val="single"/>
    </w:rPr>
  </w:style>
  <w:style w:type="paragraph" w:styleId="Heading6">
    <w:name w:val="heading 6"/>
    <w:basedOn w:val="Normal"/>
    <w:next w:val="Normal"/>
    <w:qFormat/>
    <w:rsid w:val="00FB2C67"/>
    <w:pPr>
      <w:keepNext/>
      <w:shd w:val="pct10" w:color="auto" w:fill="auto"/>
      <w:spacing w:line="360" w:lineRule="auto"/>
      <w:ind w:left="2340" w:right="1620"/>
      <w:jc w:val="center"/>
      <w:outlineLvl w:val="5"/>
    </w:pPr>
    <w:rPr>
      <w:b/>
    </w:rPr>
  </w:style>
  <w:style w:type="paragraph" w:styleId="Heading7">
    <w:name w:val="heading 7"/>
    <w:basedOn w:val="Normal"/>
    <w:next w:val="Normal"/>
    <w:qFormat/>
    <w:rsid w:val="00FB2C67"/>
    <w:pPr>
      <w:keepNext/>
      <w:jc w:val="center"/>
      <w:outlineLvl w:val="6"/>
    </w:pPr>
    <w:rPr>
      <w:b/>
    </w:rPr>
  </w:style>
  <w:style w:type="paragraph" w:styleId="Heading8">
    <w:name w:val="heading 8"/>
    <w:basedOn w:val="Normal"/>
    <w:next w:val="Normal"/>
    <w:link w:val="Heading8Char"/>
    <w:qFormat/>
    <w:rsid w:val="00FB2C67"/>
    <w:pPr>
      <w:keepNext/>
      <w:outlineLvl w:val="7"/>
    </w:pPr>
    <w:rPr>
      <w:b/>
      <w:snapToGrid w:val="0"/>
      <w:lang w:eastAsia="en-US"/>
    </w:rPr>
  </w:style>
  <w:style w:type="paragraph" w:styleId="Heading9">
    <w:name w:val="heading 9"/>
    <w:basedOn w:val="Normal"/>
    <w:next w:val="Normal"/>
    <w:qFormat/>
    <w:rsid w:val="00FB2C67"/>
    <w:pPr>
      <w:keepNext/>
      <w:tabs>
        <w:tab w:val="left" w:pos="4788"/>
        <w:tab w:val="left" w:pos="9576"/>
      </w:tabs>
      <w:spacing w:line="360" w:lineRule="auto"/>
      <w:outlineLvl w:val="8"/>
    </w:pPr>
    <w:rPr>
      <w:b/>
      <w:i/>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CA5A9E"/>
    <w:rPr>
      <w:rFonts w:ascii="Arial" w:hAnsi="Arial"/>
      <w:b/>
      <w:snapToGrid w:val="0"/>
      <w:sz w:val="24"/>
      <w:lang w:eastAsia="en-US"/>
    </w:rPr>
  </w:style>
  <w:style w:type="paragraph" w:styleId="Header">
    <w:name w:val="header"/>
    <w:basedOn w:val="Normal"/>
    <w:link w:val="HeaderChar"/>
    <w:uiPriority w:val="99"/>
    <w:rsid w:val="00FB2C67"/>
  </w:style>
  <w:style w:type="character" w:customStyle="1" w:styleId="HeaderChar">
    <w:name w:val="Header Char"/>
    <w:basedOn w:val="DefaultParagraphFont"/>
    <w:link w:val="Header"/>
    <w:uiPriority w:val="99"/>
    <w:rsid w:val="00D3401D"/>
    <w:rPr>
      <w:rFonts w:ascii="Arial" w:hAnsi="Arial"/>
      <w:sz w:val="24"/>
    </w:rPr>
  </w:style>
  <w:style w:type="paragraph" w:styleId="BlockText">
    <w:name w:val="Block Text"/>
    <w:basedOn w:val="Normal"/>
    <w:rsid w:val="00FB2C67"/>
    <w:pPr>
      <w:shd w:val="pct10" w:color="auto" w:fill="auto"/>
      <w:ind w:left="2880" w:right="3123"/>
    </w:pPr>
  </w:style>
  <w:style w:type="paragraph" w:styleId="BodyTextIndent3">
    <w:name w:val="Body Text Indent 3"/>
    <w:basedOn w:val="Normal"/>
    <w:link w:val="BodyTextIndent3Char"/>
    <w:rsid w:val="00FB2C67"/>
    <w:pPr>
      <w:tabs>
        <w:tab w:val="left" w:pos="360"/>
      </w:tabs>
      <w:ind w:left="360"/>
    </w:pPr>
  </w:style>
  <w:style w:type="paragraph" w:styleId="BodyText3">
    <w:name w:val="Body Text 3"/>
    <w:basedOn w:val="Normal"/>
    <w:rsid w:val="00FB2C67"/>
    <w:pPr>
      <w:outlineLvl w:val="0"/>
    </w:pPr>
    <w:rPr>
      <w:rFonts w:ascii="Times New Roman" w:hAnsi="Times New Roman"/>
      <w:color w:val="000000"/>
    </w:rPr>
  </w:style>
  <w:style w:type="paragraph" w:styleId="Footer">
    <w:name w:val="footer"/>
    <w:basedOn w:val="Normal"/>
    <w:link w:val="FooterChar"/>
    <w:uiPriority w:val="99"/>
    <w:rsid w:val="00FB2C67"/>
    <w:pPr>
      <w:tabs>
        <w:tab w:val="center" w:pos="4153"/>
        <w:tab w:val="right" w:pos="8306"/>
      </w:tabs>
    </w:pPr>
  </w:style>
  <w:style w:type="character" w:customStyle="1" w:styleId="FooterChar">
    <w:name w:val="Footer Char"/>
    <w:basedOn w:val="DefaultParagraphFont"/>
    <w:link w:val="Footer"/>
    <w:uiPriority w:val="99"/>
    <w:rsid w:val="00880512"/>
    <w:rPr>
      <w:rFonts w:ascii="Arial" w:hAnsi="Arial"/>
      <w:sz w:val="24"/>
    </w:rPr>
  </w:style>
  <w:style w:type="character" w:styleId="PageNumber">
    <w:name w:val="page number"/>
    <w:basedOn w:val="DefaultParagraphFont"/>
    <w:rsid w:val="00FB2C67"/>
  </w:style>
  <w:style w:type="paragraph" w:styleId="ListBullet">
    <w:name w:val="List Bullet"/>
    <w:aliases w:val=" Char"/>
    <w:basedOn w:val="Normal"/>
    <w:link w:val="ListBulletChar"/>
    <w:autoRedefine/>
    <w:rsid w:val="00FB2C67"/>
    <w:pPr>
      <w:numPr>
        <w:numId w:val="3"/>
      </w:numPr>
    </w:pPr>
  </w:style>
  <w:style w:type="character" w:customStyle="1" w:styleId="ListBulletChar">
    <w:name w:val="List Bullet Char"/>
    <w:aliases w:val=" Char Char"/>
    <w:basedOn w:val="DefaultParagraphFont"/>
    <w:link w:val="ListBullet"/>
    <w:rsid w:val="00C67C81"/>
    <w:rPr>
      <w:rFonts w:ascii="Arial" w:hAnsi="Arial"/>
      <w:sz w:val="24"/>
    </w:rPr>
  </w:style>
  <w:style w:type="character" w:styleId="Hyperlink">
    <w:name w:val="Hyperlink"/>
    <w:basedOn w:val="DefaultParagraphFont"/>
    <w:rsid w:val="00FB2C67"/>
    <w:rPr>
      <w:color w:val="0000FF"/>
      <w:u w:val="single"/>
    </w:rPr>
  </w:style>
  <w:style w:type="character" w:styleId="FollowedHyperlink">
    <w:name w:val="FollowedHyperlink"/>
    <w:basedOn w:val="DefaultParagraphFont"/>
    <w:rsid w:val="00FB2C67"/>
    <w:rPr>
      <w:color w:val="800080"/>
      <w:u w:val="single"/>
    </w:rPr>
  </w:style>
  <w:style w:type="paragraph" w:styleId="Title">
    <w:name w:val="Title"/>
    <w:basedOn w:val="Normal"/>
    <w:qFormat/>
    <w:rsid w:val="00FB2C67"/>
    <w:pPr>
      <w:jc w:val="center"/>
    </w:pPr>
    <w:rPr>
      <w:b/>
      <w:snapToGrid w:val="0"/>
      <w:sz w:val="48"/>
      <w:lang w:eastAsia="en-US"/>
    </w:rPr>
  </w:style>
  <w:style w:type="paragraph" w:styleId="BodyText">
    <w:name w:val="Body Text"/>
    <w:basedOn w:val="Normal"/>
    <w:link w:val="BodyTextChar"/>
    <w:uiPriority w:val="99"/>
    <w:rsid w:val="00FB2C67"/>
    <w:rPr>
      <w:b/>
    </w:rPr>
  </w:style>
  <w:style w:type="character" w:customStyle="1" w:styleId="BodyTextChar">
    <w:name w:val="Body Text Char"/>
    <w:basedOn w:val="DefaultParagraphFont"/>
    <w:link w:val="BodyText"/>
    <w:uiPriority w:val="99"/>
    <w:rsid w:val="00D3401D"/>
    <w:rPr>
      <w:rFonts w:ascii="Arial" w:hAnsi="Arial"/>
      <w:b/>
      <w:sz w:val="24"/>
    </w:rPr>
  </w:style>
  <w:style w:type="paragraph" w:styleId="BodyText2">
    <w:name w:val="Body Text 2"/>
    <w:basedOn w:val="Normal"/>
    <w:rsid w:val="00FB2C67"/>
    <w:pPr>
      <w:ind w:right="-180"/>
    </w:pPr>
  </w:style>
  <w:style w:type="paragraph" w:styleId="NormalWeb">
    <w:name w:val="Normal (Web)"/>
    <w:basedOn w:val="Normal"/>
    <w:uiPriority w:val="99"/>
    <w:rsid w:val="00FB2C67"/>
    <w:pPr>
      <w:spacing w:before="100" w:after="100"/>
    </w:pPr>
    <w:rPr>
      <w:rFonts w:ascii="Times New Roman" w:hAnsi="Times New Roman"/>
      <w:lang w:val="en-US"/>
    </w:rPr>
  </w:style>
  <w:style w:type="paragraph" w:styleId="BodyTextIndent">
    <w:name w:val="Body Text Indent"/>
    <w:basedOn w:val="Normal"/>
    <w:link w:val="BodyTextIndentChar"/>
    <w:rsid w:val="00FB2C67"/>
    <w:pPr>
      <w:tabs>
        <w:tab w:val="left" w:pos="1080"/>
      </w:tabs>
      <w:spacing w:after="80"/>
      <w:ind w:left="1080"/>
      <w:jc w:val="both"/>
    </w:pPr>
  </w:style>
  <w:style w:type="character" w:customStyle="1" w:styleId="BodyTextIndentChar">
    <w:name w:val="Body Text Indent Char"/>
    <w:basedOn w:val="DefaultParagraphFont"/>
    <w:link w:val="BodyTextIndent"/>
    <w:rsid w:val="000C50AF"/>
    <w:rPr>
      <w:rFonts w:ascii="Arial" w:hAnsi="Arial"/>
      <w:sz w:val="24"/>
    </w:rPr>
  </w:style>
  <w:style w:type="paragraph" w:styleId="BodyTextIndent2">
    <w:name w:val="Body Text Indent 2"/>
    <w:basedOn w:val="Normal"/>
    <w:link w:val="BodyTextIndent2Char"/>
    <w:rsid w:val="00FB2C67"/>
    <w:pPr>
      <w:spacing w:after="240"/>
      <w:ind w:left="720"/>
      <w:jc w:val="both"/>
    </w:pPr>
  </w:style>
  <w:style w:type="paragraph" w:customStyle="1" w:styleId="Bullet4">
    <w:name w:val="Bullet 4"/>
    <w:basedOn w:val="Normal"/>
    <w:uiPriority w:val="99"/>
    <w:rsid w:val="00FB2C67"/>
    <w:pPr>
      <w:numPr>
        <w:numId w:val="6"/>
      </w:numPr>
      <w:spacing w:after="240"/>
    </w:pPr>
    <w:rPr>
      <w:rFonts w:ascii="Times New Roman" w:hAnsi="Times New Roman"/>
    </w:rPr>
  </w:style>
  <w:style w:type="paragraph" w:styleId="DocumentMap">
    <w:name w:val="Document Map"/>
    <w:basedOn w:val="Normal"/>
    <w:semiHidden/>
    <w:rsid w:val="00FB2C67"/>
    <w:pPr>
      <w:shd w:val="clear" w:color="auto" w:fill="000080"/>
    </w:pPr>
    <w:rPr>
      <w:rFonts w:ascii="Tahoma" w:hAnsi="Tahoma"/>
    </w:rPr>
  </w:style>
  <w:style w:type="paragraph" w:customStyle="1" w:styleId="Default">
    <w:name w:val="Default"/>
    <w:rsid w:val="00084BC1"/>
    <w:pPr>
      <w:autoSpaceDE w:val="0"/>
      <w:autoSpaceDN w:val="0"/>
      <w:adjustRightInd w:val="0"/>
    </w:pPr>
    <w:rPr>
      <w:rFonts w:ascii="Arial" w:hAnsi="Arial" w:cs="Arial"/>
      <w:color w:val="000000"/>
      <w:sz w:val="24"/>
      <w:szCs w:val="24"/>
    </w:rPr>
  </w:style>
  <w:style w:type="paragraph" w:customStyle="1" w:styleId="arial11">
    <w:name w:val="arial11"/>
    <w:basedOn w:val="Normal"/>
    <w:rsid w:val="004038DF"/>
  </w:style>
  <w:style w:type="table" w:styleId="TableGrid">
    <w:name w:val="Table Grid"/>
    <w:basedOn w:val="TableNormal"/>
    <w:rsid w:val="00C26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37EB1"/>
    <w:rPr>
      <w:rFonts w:ascii="Tahoma" w:hAnsi="Tahoma" w:cs="Tahoma"/>
      <w:sz w:val="16"/>
      <w:szCs w:val="16"/>
    </w:rPr>
  </w:style>
  <w:style w:type="paragraph" w:styleId="PlainText">
    <w:name w:val="Plain Text"/>
    <w:basedOn w:val="Normal"/>
    <w:rsid w:val="007B0E0F"/>
    <w:rPr>
      <w:rFonts w:ascii="Courier New" w:hAnsi="Courier New" w:cs="Courier New"/>
      <w:sz w:val="20"/>
    </w:rPr>
  </w:style>
  <w:style w:type="paragraph" w:customStyle="1" w:styleId="TableHeadingText">
    <w:name w:val="Table Heading Text"/>
    <w:basedOn w:val="Normal"/>
    <w:rsid w:val="00C67C81"/>
    <w:pPr>
      <w:spacing w:before="60" w:after="60"/>
    </w:pPr>
    <w:rPr>
      <w:rFonts w:ascii="Arial Black" w:hAnsi="Arial Black"/>
      <w:sz w:val="18"/>
      <w:lang w:eastAsia="en-US"/>
    </w:rPr>
  </w:style>
  <w:style w:type="paragraph" w:customStyle="1" w:styleId="TableText">
    <w:name w:val="Table Text"/>
    <w:basedOn w:val="Normal"/>
    <w:rsid w:val="00C67C81"/>
    <w:pPr>
      <w:spacing w:before="40" w:after="40"/>
    </w:pPr>
    <w:rPr>
      <w:rFonts w:cs="Arial"/>
      <w:sz w:val="20"/>
      <w:lang w:eastAsia="en-US"/>
    </w:rPr>
  </w:style>
  <w:style w:type="paragraph" w:customStyle="1" w:styleId="OutlineNum2">
    <w:name w:val="Outline Num 2"/>
    <w:basedOn w:val="Normal"/>
    <w:link w:val="OutlineNum2Char"/>
    <w:rsid w:val="00C67C81"/>
    <w:pPr>
      <w:numPr>
        <w:ilvl w:val="1"/>
        <w:numId w:val="7"/>
      </w:numPr>
      <w:spacing w:after="240"/>
      <w:outlineLvl w:val="1"/>
    </w:pPr>
    <w:rPr>
      <w:sz w:val="22"/>
    </w:rPr>
  </w:style>
  <w:style w:type="paragraph" w:customStyle="1" w:styleId="OutlineNum3">
    <w:name w:val="Outline Num 3"/>
    <w:basedOn w:val="Normal"/>
    <w:rsid w:val="00C67C81"/>
    <w:pPr>
      <w:numPr>
        <w:ilvl w:val="2"/>
        <w:numId w:val="7"/>
      </w:numPr>
      <w:spacing w:after="240"/>
      <w:outlineLvl w:val="2"/>
    </w:pPr>
    <w:rPr>
      <w:sz w:val="22"/>
    </w:rPr>
  </w:style>
  <w:style w:type="paragraph" w:customStyle="1" w:styleId="BulletSingle">
    <w:name w:val="Bullet Single"/>
    <w:basedOn w:val="Normal"/>
    <w:rsid w:val="00C67C81"/>
    <w:pPr>
      <w:numPr>
        <w:numId w:val="8"/>
      </w:numPr>
      <w:outlineLvl w:val="0"/>
    </w:pPr>
    <w:rPr>
      <w:sz w:val="22"/>
    </w:rPr>
  </w:style>
  <w:style w:type="paragraph" w:customStyle="1" w:styleId="BulletSingle2">
    <w:name w:val="Bullet Single 2"/>
    <w:basedOn w:val="Normal"/>
    <w:rsid w:val="00C67C81"/>
    <w:pPr>
      <w:numPr>
        <w:ilvl w:val="1"/>
        <w:numId w:val="8"/>
      </w:numPr>
      <w:outlineLvl w:val="1"/>
    </w:pPr>
    <w:rPr>
      <w:sz w:val="22"/>
    </w:rPr>
  </w:style>
  <w:style w:type="paragraph" w:customStyle="1" w:styleId="BulletSingle3">
    <w:name w:val="Bullet Single 3"/>
    <w:basedOn w:val="Normal"/>
    <w:rsid w:val="00C67C81"/>
    <w:pPr>
      <w:numPr>
        <w:ilvl w:val="2"/>
        <w:numId w:val="8"/>
      </w:numPr>
      <w:outlineLvl w:val="2"/>
    </w:pPr>
    <w:rPr>
      <w:sz w:val="22"/>
    </w:rPr>
  </w:style>
  <w:style w:type="paragraph" w:customStyle="1" w:styleId="BulletSingle4">
    <w:name w:val="Bullet Single 4"/>
    <w:basedOn w:val="BulletSingle"/>
    <w:rsid w:val="00C67C81"/>
    <w:pPr>
      <w:numPr>
        <w:ilvl w:val="3"/>
      </w:numPr>
      <w:outlineLvl w:val="3"/>
    </w:pPr>
  </w:style>
  <w:style w:type="paragraph" w:customStyle="1" w:styleId="CM33">
    <w:name w:val="CM33"/>
    <w:basedOn w:val="Default"/>
    <w:next w:val="Default"/>
    <w:rsid w:val="00085FCE"/>
    <w:pPr>
      <w:widowControl w:val="0"/>
      <w:spacing w:after="498"/>
    </w:pPr>
    <w:rPr>
      <w:rFonts w:cs="Times New Roman"/>
      <w:color w:val="auto"/>
    </w:rPr>
  </w:style>
  <w:style w:type="paragraph" w:customStyle="1" w:styleId="CM35">
    <w:name w:val="CM35"/>
    <w:basedOn w:val="Default"/>
    <w:next w:val="Default"/>
    <w:rsid w:val="00085FCE"/>
    <w:pPr>
      <w:widowControl w:val="0"/>
      <w:spacing w:after="553"/>
    </w:pPr>
    <w:rPr>
      <w:rFonts w:cs="Times New Roman"/>
      <w:color w:val="auto"/>
    </w:rPr>
  </w:style>
  <w:style w:type="paragraph" w:customStyle="1" w:styleId="CM36">
    <w:name w:val="CM36"/>
    <w:basedOn w:val="Default"/>
    <w:next w:val="Default"/>
    <w:rsid w:val="00085FCE"/>
    <w:pPr>
      <w:widowControl w:val="0"/>
      <w:spacing w:after="295"/>
    </w:pPr>
    <w:rPr>
      <w:rFonts w:cs="Times New Roman"/>
      <w:color w:val="auto"/>
    </w:rPr>
  </w:style>
  <w:style w:type="paragraph" w:customStyle="1" w:styleId="CM5">
    <w:name w:val="CM5"/>
    <w:basedOn w:val="Default"/>
    <w:next w:val="Default"/>
    <w:rsid w:val="00085FCE"/>
    <w:pPr>
      <w:widowControl w:val="0"/>
      <w:spacing w:line="320" w:lineRule="atLeast"/>
    </w:pPr>
    <w:rPr>
      <w:rFonts w:cs="Times New Roman"/>
      <w:color w:val="auto"/>
    </w:rPr>
  </w:style>
  <w:style w:type="paragraph" w:customStyle="1" w:styleId="CM37">
    <w:name w:val="CM37"/>
    <w:basedOn w:val="Default"/>
    <w:next w:val="Default"/>
    <w:rsid w:val="00085FCE"/>
    <w:pPr>
      <w:widowControl w:val="0"/>
      <w:spacing w:after="335"/>
    </w:pPr>
    <w:rPr>
      <w:rFonts w:cs="Times New Roman"/>
      <w:color w:val="auto"/>
    </w:rPr>
  </w:style>
  <w:style w:type="paragraph" w:customStyle="1" w:styleId="CM43">
    <w:name w:val="CM43"/>
    <w:basedOn w:val="Default"/>
    <w:next w:val="Default"/>
    <w:rsid w:val="00085FCE"/>
    <w:pPr>
      <w:widowControl w:val="0"/>
      <w:spacing w:after="950"/>
    </w:pPr>
    <w:rPr>
      <w:rFonts w:cs="Times New Roman"/>
      <w:color w:val="auto"/>
    </w:rPr>
  </w:style>
  <w:style w:type="paragraph" w:styleId="Revision">
    <w:name w:val="Revision"/>
    <w:hidden/>
    <w:uiPriority w:val="99"/>
    <w:semiHidden/>
    <w:rsid w:val="001749B7"/>
    <w:rPr>
      <w:rFonts w:ascii="Arial" w:hAnsi="Arial"/>
      <w:sz w:val="24"/>
    </w:rPr>
  </w:style>
  <w:style w:type="character" w:styleId="HTMLCite">
    <w:name w:val="HTML Cite"/>
    <w:basedOn w:val="DefaultParagraphFont"/>
    <w:uiPriority w:val="99"/>
    <w:semiHidden/>
    <w:unhideWhenUsed/>
    <w:rsid w:val="009D5C04"/>
    <w:rPr>
      <w:i/>
      <w:iCs/>
    </w:rPr>
  </w:style>
  <w:style w:type="paragraph" w:styleId="EndnoteText">
    <w:name w:val="endnote text"/>
    <w:basedOn w:val="Normal"/>
    <w:link w:val="EndnoteTextChar"/>
    <w:uiPriority w:val="99"/>
    <w:semiHidden/>
    <w:unhideWhenUsed/>
    <w:rsid w:val="00E622A6"/>
    <w:rPr>
      <w:sz w:val="20"/>
    </w:rPr>
  </w:style>
  <w:style w:type="character" w:customStyle="1" w:styleId="EndnoteTextChar">
    <w:name w:val="Endnote Text Char"/>
    <w:basedOn w:val="DefaultParagraphFont"/>
    <w:link w:val="EndnoteText"/>
    <w:uiPriority w:val="99"/>
    <w:semiHidden/>
    <w:rsid w:val="00E622A6"/>
    <w:rPr>
      <w:rFonts w:ascii="Arial" w:hAnsi="Arial"/>
    </w:rPr>
  </w:style>
  <w:style w:type="character" w:styleId="EndnoteReference">
    <w:name w:val="endnote reference"/>
    <w:basedOn w:val="DefaultParagraphFont"/>
    <w:uiPriority w:val="99"/>
    <w:semiHidden/>
    <w:unhideWhenUsed/>
    <w:rsid w:val="00E622A6"/>
    <w:rPr>
      <w:vertAlign w:val="superscript"/>
    </w:rPr>
  </w:style>
  <w:style w:type="paragraph" w:styleId="ListParagraph">
    <w:name w:val="List Paragraph"/>
    <w:basedOn w:val="Normal"/>
    <w:uiPriority w:val="34"/>
    <w:qFormat/>
    <w:rsid w:val="00B41E19"/>
    <w:pPr>
      <w:ind w:left="720"/>
      <w:contextualSpacing/>
    </w:pPr>
    <w:rPr>
      <w:szCs w:val="24"/>
    </w:rPr>
  </w:style>
  <w:style w:type="character" w:styleId="Strong">
    <w:name w:val="Strong"/>
    <w:basedOn w:val="DefaultParagraphFont"/>
    <w:uiPriority w:val="22"/>
    <w:qFormat/>
    <w:rsid w:val="00E56E3C"/>
    <w:rPr>
      <w:b/>
      <w:bCs/>
    </w:rPr>
  </w:style>
  <w:style w:type="paragraph" w:customStyle="1" w:styleId="SectionStart">
    <w:name w:val="Section Start"/>
    <w:basedOn w:val="Normal"/>
    <w:next w:val="Heading1"/>
    <w:rsid w:val="004126C0"/>
    <w:pPr>
      <w:pageBreakBefore/>
      <w:pBdr>
        <w:top w:val="single" w:sz="12" w:space="1" w:color="000000"/>
        <w:left w:val="single" w:sz="12" w:space="9" w:color="000000"/>
        <w:bottom w:val="single" w:sz="12" w:space="1" w:color="000000"/>
        <w:right w:val="single" w:sz="12" w:space="0" w:color="000000"/>
      </w:pBdr>
      <w:tabs>
        <w:tab w:val="left" w:pos="547"/>
        <w:tab w:val="num" w:pos="720"/>
      </w:tabs>
      <w:spacing w:before="1500" w:after="480" w:line="1820" w:lineRule="exact"/>
      <w:ind w:left="720" w:right="6840" w:hanging="720"/>
    </w:pPr>
    <w:rPr>
      <w:rFonts w:ascii="Arial Black" w:hAnsi="Arial Black"/>
      <w:noProof/>
      <w:color w:val="000000"/>
      <w:position w:val="-18"/>
      <w:sz w:val="48"/>
    </w:rPr>
  </w:style>
  <w:style w:type="character" w:customStyle="1" w:styleId="NormalSingleChar">
    <w:name w:val="Normal Single Char"/>
    <w:basedOn w:val="DefaultParagraphFont"/>
    <w:link w:val="NormalSingle"/>
    <w:rsid w:val="004126C0"/>
    <w:rPr>
      <w:rFonts w:ascii="Arial" w:hAnsi="Arial"/>
      <w:color w:val="000000"/>
      <w:sz w:val="22"/>
    </w:rPr>
  </w:style>
  <w:style w:type="paragraph" w:customStyle="1" w:styleId="NormalSingle">
    <w:name w:val="Normal Single"/>
    <w:basedOn w:val="Normal"/>
    <w:link w:val="NormalSingleChar"/>
    <w:rsid w:val="004126C0"/>
    <w:rPr>
      <w:color w:val="000000"/>
      <w:sz w:val="22"/>
    </w:rPr>
  </w:style>
  <w:style w:type="character" w:customStyle="1" w:styleId="OutlineNum2Char">
    <w:name w:val="Outline Num 2 Char"/>
    <w:basedOn w:val="DefaultParagraphFont"/>
    <w:link w:val="OutlineNum2"/>
    <w:rsid w:val="004126C0"/>
    <w:rPr>
      <w:rFonts w:ascii="Arial" w:hAnsi="Arial"/>
      <w:sz w:val="22"/>
    </w:rPr>
  </w:style>
  <w:style w:type="character" w:styleId="LineNumber">
    <w:name w:val="line number"/>
    <w:basedOn w:val="DefaultParagraphFont"/>
    <w:uiPriority w:val="99"/>
    <w:semiHidden/>
    <w:unhideWhenUsed/>
    <w:rsid w:val="00174932"/>
  </w:style>
  <w:style w:type="paragraph" w:styleId="NoSpacing">
    <w:name w:val="No Spacing"/>
    <w:link w:val="NoSpacingChar"/>
    <w:uiPriority w:val="1"/>
    <w:qFormat/>
    <w:rsid w:val="001749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74932"/>
    <w:rPr>
      <w:rFonts w:asciiTheme="minorHAnsi" w:eastAsiaTheme="minorEastAsia" w:hAnsiTheme="minorHAnsi" w:cstheme="minorBidi"/>
      <w:sz w:val="22"/>
      <w:szCs w:val="22"/>
      <w:lang w:val="en-US" w:eastAsia="en-US"/>
    </w:rPr>
  </w:style>
  <w:style w:type="character" w:customStyle="1" w:styleId="BodyTextIndent3Char">
    <w:name w:val="Body Text Indent 3 Char"/>
    <w:basedOn w:val="DefaultParagraphFont"/>
    <w:link w:val="BodyTextIndent3"/>
    <w:uiPriority w:val="99"/>
    <w:rsid w:val="00F04100"/>
    <w:rPr>
      <w:rFonts w:ascii="Arial" w:hAnsi="Arial"/>
      <w:sz w:val="24"/>
    </w:rPr>
  </w:style>
  <w:style w:type="paragraph" w:customStyle="1" w:styleId="BaseBold">
    <w:name w:val="Base Bold"/>
    <w:next w:val="Normal"/>
    <w:rsid w:val="009A3AFE"/>
    <w:pPr>
      <w:spacing w:line="200" w:lineRule="atLeast"/>
    </w:pPr>
    <w:rPr>
      <w:rFonts w:ascii="Arial" w:hAnsi="Arial" w:cs="Arial"/>
      <w:b/>
      <w:sz w:val="16"/>
      <w:lang w:eastAsia="en-US"/>
    </w:rPr>
  </w:style>
  <w:style w:type="paragraph" w:customStyle="1" w:styleId="AppendixHeading">
    <w:name w:val="Appendix Heading"/>
    <w:basedOn w:val="Heading1"/>
    <w:next w:val="Normal"/>
    <w:rsid w:val="005514E7"/>
    <w:pPr>
      <w:tabs>
        <w:tab w:val="num" w:pos="0"/>
      </w:tabs>
      <w:spacing w:before="60" w:after="240"/>
    </w:pPr>
    <w:rPr>
      <w:rFonts w:ascii="Arial Black" w:hAnsi="Arial Black"/>
      <w:b w:val="0"/>
      <w:color w:val="000000"/>
      <w:kern w:val="0"/>
    </w:rPr>
  </w:style>
  <w:style w:type="paragraph" w:customStyle="1" w:styleId="Pa0">
    <w:name w:val="Pa0"/>
    <w:basedOn w:val="Default"/>
    <w:next w:val="Default"/>
    <w:uiPriority w:val="99"/>
    <w:rsid w:val="0092190C"/>
    <w:pPr>
      <w:spacing w:line="241" w:lineRule="atLeas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E1773C"/>
    <w:rPr>
      <w:sz w:val="16"/>
      <w:szCs w:val="16"/>
    </w:rPr>
  </w:style>
  <w:style w:type="paragraph" w:styleId="CommentText">
    <w:name w:val="annotation text"/>
    <w:basedOn w:val="Normal"/>
    <w:link w:val="CommentTextChar"/>
    <w:uiPriority w:val="99"/>
    <w:semiHidden/>
    <w:unhideWhenUsed/>
    <w:rsid w:val="00E1773C"/>
    <w:rPr>
      <w:sz w:val="20"/>
    </w:rPr>
  </w:style>
  <w:style w:type="character" w:customStyle="1" w:styleId="CommentTextChar">
    <w:name w:val="Comment Text Char"/>
    <w:basedOn w:val="DefaultParagraphFont"/>
    <w:link w:val="CommentText"/>
    <w:uiPriority w:val="99"/>
    <w:semiHidden/>
    <w:rsid w:val="00E1773C"/>
    <w:rPr>
      <w:rFonts w:ascii="Arial" w:hAnsi="Arial"/>
    </w:rPr>
  </w:style>
  <w:style w:type="paragraph" w:styleId="CommentSubject">
    <w:name w:val="annotation subject"/>
    <w:basedOn w:val="CommentText"/>
    <w:next w:val="CommentText"/>
    <w:link w:val="CommentSubjectChar"/>
    <w:uiPriority w:val="99"/>
    <w:semiHidden/>
    <w:unhideWhenUsed/>
    <w:rsid w:val="00E1773C"/>
    <w:rPr>
      <w:b/>
      <w:bCs/>
    </w:rPr>
  </w:style>
  <w:style w:type="character" w:customStyle="1" w:styleId="CommentSubjectChar">
    <w:name w:val="Comment Subject Char"/>
    <w:basedOn w:val="CommentTextChar"/>
    <w:link w:val="CommentSubject"/>
    <w:uiPriority w:val="99"/>
    <w:semiHidden/>
    <w:rsid w:val="00E1773C"/>
    <w:rPr>
      <w:rFonts w:ascii="Arial" w:hAnsi="Arial"/>
      <w:b/>
      <w:bCs/>
    </w:rPr>
  </w:style>
  <w:style w:type="character" w:customStyle="1" w:styleId="Bodytextemphasised">
    <w:name w:val="Body text (emphasised)"/>
    <w:basedOn w:val="DefaultParagraphFont"/>
    <w:rsid w:val="00B83D57"/>
    <w:rPr>
      <w:rFonts w:ascii="Arial" w:hAnsi="Arial"/>
      <w:b/>
      <w:sz w:val="24"/>
      <w:szCs w:val="24"/>
      <w:lang w:val="en-GB" w:eastAsia="en-GB" w:bidi="ar-SA"/>
    </w:rPr>
  </w:style>
  <w:style w:type="character" w:customStyle="1" w:styleId="Heading4Char">
    <w:name w:val="Heading 4 Char"/>
    <w:basedOn w:val="DefaultParagraphFont"/>
    <w:link w:val="Heading4"/>
    <w:rsid w:val="00D14F61"/>
    <w:rPr>
      <w:rFonts w:ascii="Arial" w:hAnsi="Arial"/>
      <w:b/>
      <w:snapToGrid w:val="0"/>
      <w:sz w:val="24"/>
      <w:u w:val="single"/>
      <w:lang w:eastAsia="en-US"/>
    </w:rPr>
  </w:style>
  <w:style w:type="character" w:customStyle="1" w:styleId="Heading5Char">
    <w:name w:val="Heading 5 Char"/>
    <w:basedOn w:val="DefaultParagraphFont"/>
    <w:link w:val="Heading5"/>
    <w:rsid w:val="00D14F61"/>
    <w:rPr>
      <w:rFonts w:ascii="Univers" w:hAnsi="Univers"/>
      <w:b/>
      <w:sz w:val="24"/>
      <w:u w:val="single"/>
    </w:rPr>
  </w:style>
  <w:style w:type="character" w:customStyle="1" w:styleId="Heading3Char">
    <w:name w:val="Heading 3 Char"/>
    <w:basedOn w:val="DefaultParagraphFont"/>
    <w:link w:val="Heading3"/>
    <w:rsid w:val="004903C8"/>
    <w:rPr>
      <w:rFonts w:ascii="Arial" w:hAnsi="Arial"/>
      <w:b/>
      <w:i/>
      <w:snapToGrid w:val="0"/>
      <w:sz w:val="28"/>
      <w:u w:val="single"/>
      <w:lang w:eastAsia="en-US"/>
    </w:rPr>
  </w:style>
  <w:style w:type="character" w:customStyle="1" w:styleId="Heading1Char">
    <w:name w:val="Heading 1 Char"/>
    <w:basedOn w:val="DefaultParagraphFont"/>
    <w:link w:val="Heading1"/>
    <w:rsid w:val="004903C8"/>
    <w:rPr>
      <w:rFonts w:ascii="Arial" w:hAnsi="Arial"/>
      <w:b/>
      <w:kern w:val="28"/>
      <w:sz w:val="28"/>
    </w:rPr>
  </w:style>
  <w:style w:type="character" w:customStyle="1" w:styleId="BodyTextIndent2Char">
    <w:name w:val="Body Text Indent 2 Char"/>
    <w:basedOn w:val="DefaultParagraphFont"/>
    <w:link w:val="BodyTextIndent2"/>
    <w:rsid w:val="002747C3"/>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150027863">
      <w:bodyDiv w:val="1"/>
      <w:marLeft w:val="0"/>
      <w:marRight w:val="0"/>
      <w:marTop w:val="0"/>
      <w:marBottom w:val="0"/>
      <w:divBdr>
        <w:top w:val="none" w:sz="0" w:space="0" w:color="auto"/>
        <w:left w:val="none" w:sz="0" w:space="0" w:color="auto"/>
        <w:bottom w:val="none" w:sz="0" w:space="0" w:color="auto"/>
        <w:right w:val="none" w:sz="0" w:space="0" w:color="auto"/>
      </w:divBdr>
    </w:div>
    <w:div w:id="268316706">
      <w:bodyDiv w:val="1"/>
      <w:marLeft w:val="0"/>
      <w:marRight w:val="0"/>
      <w:marTop w:val="0"/>
      <w:marBottom w:val="0"/>
      <w:divBdr>
        <w:top w:val="none" w:sz="0" w:space="0" w:color="auto"/>
        <w:left w:val="none" w:sz="0" w:space="0" w:color="auto"/>
        <w:bottom w:val="none" w:sz="0" w:space="0" w:color="auto"/>
        <w:right w:val="none" w:sz="0" w:space="0" w:color="auto"/>
      </w:divBdr>
    </w:div>
    <w:div w:id="308288901">
      <w:bodyDiv w:val="1"/>
      <w:marLeft w:val="0"/>
      <w:marRight w:val="0"/>
      <w:marTop w:val="0"/>
      <w:marBottom w:val="0"/>
      <w:divBdr>
        <w:top w:val="none" w:sz="0" w:space="0" w:color="auto"/>
        <w:left w:val="none" w:sz="0" w:space="0" w:color="auto"/>
        <w:bottom w:val="none" w:sz="0" w:space="0" w:color="auto"/>
        <w:right w:val="none" w:sz="0" w:space="0" w:color="auto"/>
      </w:divBdr>
    </w:div>
    <w:div w:id="316348597">
      <w:bodyDiv w:val="1"/>
      <w:marLeft w:val="0"/>
      <w:marRight w:val="0"/>
      <w:marTop w:val="0"/>
      <w:marBottom w:val="0"/>
      <w:divBdr>
        <w:top w:val="none" w:sz="0" w:space="0" w:color="auto"/>
        <w:left w:val="none" w:sz="0" w:space="0" w:color="auto"/>
        <w:bottom w:val="none" w:sz="0" w:space="0" w:color="auto"/>
        <w:right w:val="none" w:sz="0" w:space="0" w:color="auto"/>
      </w:divBdr>
    </w:div>
    <w:div w:id="440151891">
      <w:bodyDiv w:val="1"/>
      <w:marLeft w:val="0"/>
      <w:marRight w:val="0"/>
      <w:marTop w:val="0"/>
      <w:marBottom w:val="0"/>
      <w:divBdr>
        <w:top w:val="none" w:sz="0" w:space="0" w:color="auto"/>
        <w:left w:val="none" w:sz="0" w:space="0" w:color="auto"/>
        <w:bottom w:val="none" w:sz="0" w:space="0" w:color="auto"/>
        <w:right w:val="none" w:sz="0" w:space="0" w:color="auto"/>
      </w:divBdr>
    </w:div>
    <w:div w:id="572392383">
      <w:bodyDiv w:val="1"/>
      <w:marLeft w:val="0"/>
      <w:marRight w:val="0"/>
      <w:marTop w:val="0"/>
      <w:marBottom w:val="0"/>
      <w:divBdr>
        <w:top w:val="none" w:sz="0" w:space="0" w:color="auto"/>
        <w:left w:val="none" w:sz="0" w:space="0" w:color="auto"/>
        <w:bottom w:val="none" w:sz="0" w:space="0" w:color="auto"/>
        <w:right w:val="none" w:sz="0" w:space="0" w:color="auto"/>
      </w:divBdr>
    </w:div>
    <w:div w:id="597104158">
      <w:bodyDiv w:val="1"/>
      <w:marLeft w:val="0"/>
      <w:marRight w:val="0"/>
      <w:marTop w:val="0"/>
      <w:marBottom w:val="0"/>
      <w:divBdr>
        <w:top w:val="none" w:sz="0" w:space="0" w:color="auto"/>
        <w:left w:val="none" w:sz="0" w:space="0" w:color="auto"/>
        <w:bottom w:val="none" w:sz="0" w:space="0" w:color="auto"/>
        <w:right w:val="none" w:sz="0" w:space="0" w:color="auto"/>
      </w:divBdr>
    </w:div>
    <w:div w:id="604651892">
      <w:bodyDiv w:val="1"/>
      <w:marLeft w:val="0"/>
      <w:marRight w:val="0"/>
      <w:marTop w:val="0"/>
      <w:marBottom w:val="0"/>
      <w:divBdr>
        <w:top w:val="none" w:sz="0" w:space="0" w:color="auto"/>
        <w:left w:val="none" w:sz="0" w:space="0" w:color="auto"/>
        <w:bottom w:val="none" w:sz="0" w:space="0" w:color="auto"/>
        <w:right w:val="none" w:sz="0" w:space="0" w:color="auto"/>
      </w:divBdr>
    </w:div>
    <w:div w:id="817769271">
      <w:bodyDiv w:val="1"/>
      <w:marLeft w:val="0"/>
      <w:marRight w:val="0"/>
      <w:marTop w:val="0"/>
      <w:marBottom w:val="0"/>
      <w:divBdr>
        <w:top w:val="none" w:sz="0" w:space="0" w:color="auto"/>
        <w:left w:val="none" w:sz="0" w:space="0" w:color="auto"/>
        <w:bottom w:val="none" w:sz="0" w:space="0" w:color="auto"/>
        <w:right w:val="none" w:sz="0" w:space="0" w:color="auto"/>
      </w:divBdr>
    </w:div>
    <w:div w:id="849223587">
      <w:bodyDiv w:val="1"/>
      <w:marLeft w:val="0"/>
      <w:marRight w:val="0"/>
      <w:marTop w:val="0"/>
      <w:marBottom w:val="0"/>
      <w:divBdr>
        <w:top w:val="none" w:sz="0" w:space="0" w:color="auto"/>
        <w:left w:val="none" w:sz="0" w:space="0" w:color="auto"/>
        <w:bottom w:val="none" w:sz="0" w:space="0" w:color="auto"/>
        <w:right w:val="none" w:sz="0" w:space="0" w:color="auto"/>
      </w:divBdr>
    </w:div>
    <w:div w:id="928126449">
      <w:bodyDiv w:val="1"/>
      <w:marLeft w:val="0"/>
      <w:marRight w:val="0"/>
      <w:marTop w:val="0"/>
      <w:marBottom w:val="0"/>
      <w:divBdr>
        <w:top w:val="none" w:sz="0" w:space="0" w:color="auto"/>
        <w:left w:val="none" w:sz="0" w:space="0" w:color="auto"/>
        <w:bottom w:val="none" w:sz="0" w:space="0" w:color="auto"/>
        <w:right w:val="none" w:sz="0" w:space="0" w:color="auto"/>
      </w:divBdr>
    </w:div>
    <w:div w:id="1395543684">
      <w:bodyDiv w:val="1"/>
      <w:marLeft w:val="0"/>
      <w:marRight w:val="0"/>
      <w:marTop w:val="0"/>
      <w:marBottom w:val="0"/>
      <w:divBdr>
        <w:top w:val="none" w:sz="0" w:space="0" w:color="auto"/>
        <w:left w:val="none" w:sz="0" w:space="0" w:color="auto"/>
        <w:bottom w:val="none" w:sz="0" w:space="0" w:color="auto"/>
        <w:right w:val="none" w:sz="0" w:space="0" w:color="auto"/>
      </w:divBdr>
    </w:div>
    <w:div w:id="1401517484">
      <w:bodyDiv w:val="1"/>
      <w:marLeft w:val="0"/>
      <w:marRight w:val="0"/>
      <w:marTop w:val="0"/>
      <w:marBottom w:val="0"/>
      <w:divBdr>
        <w:top w:val="none" w:sz="0" w:space="0" w:color="auto"/>
        <w:left w:val="none" w:sz="0" w:space="0" w:color="auto"/>
        <w:bottom w:val="none" w:sz="0" w:space="0" w:color="auto"/>
        <w:right w:val="none" w:sz="0" w:space="0" w:color="auto"/>
      </w:divBdr>
    </w:div>
    <w:div w:id="1407338342">
      <w:bodyDiv w:val="1"/>
      <w:marLeft w:val="0"/>
      <w:marRight w:val="0"/>
      <w:marTop w:val="0"/>
      <w:marBottom w:val="0"/>
      <w:divBdr>
        <w:top w:val="none" w:sz="0" w:space="0" w:color="auto"/>
        <w:left w:val="none" w:sz="0" w:space="0" w:color="auto"/>
        <w:bottom w:val="none" w:sz="0" w:space="0" w:color="auto"/>
        <w:right w:val="none" w:sz="0" w:space="0" w:color="auto"/>
      </w:divBdr>
    </w:div>
    <w:div w:id="1426733802">
      <w:bodyDiv w:val="1"/>
      <w:marLeft w:val="0"/>
      <w:marRight w:val="0"/>
      <w:marTop w:val="0"/>
      <w:marBottom w:val="0"/>
      <w:divBdr>
        <w:top w:val="none" w:sz="0" w:space="0" w:color="auto"/>
        <w:left w:val="none" w:sz="0" w:space="0" w:color="auto"/>
        <w:bottom w:val="none" w:sz="0" w:space="0" w:color="auto"/>
        <w:right w:val="none" w:sz="0" w:space="0" w:color="auto"/>
      </w:divBdr>
    </w:div>
    <w:div w:id="1633633191">
      <w:bodyDiv w:val="1"/>
      <w:marLeft w:val="0"/>
      <w:marRight w:val="0"/>
      <w:marTop w:val="0"/>
      <w:marBottom w:val="0"/>
      <w:divBdr>
        <w:top w:val="none" w:sz="0" w:space="0" w:color="auto"/>
        <w:left w:val="none" w:sz="0" w:space="0" w:color="auto"/>
        <w:bottom w:val="none" w:sz="0" w:space="0" w:color="auto"/>
        <w:right w:val="none" w:sz="0" w:space="0" w:color="auto"/>
      </w:divBdr>
    </w:div>
    <w:div w:id="1776049712">
      <w:bodyDiv w:val="1"/>
      <w:marLeft w:val="0"/>
      <w:marRight w:val="0"/>
      <w:marTop w:val="0"/>
      <w:marBottom w:val="0"/>
      <w:divBdr>
        <w:top w:val="none" w:sz="0" w:space="0" w:color="auto"/>
        <w:left w:val="none" w:sz="0" w:space="0" w:color="auto"/>
        <w:bottom w:val="none" w:sz="0" w:space="0" w:color="auto"/>
        <w:right w:val="none" w:sz="0" w:space="0" w:color="auto"/>
      </w:divBdr>
    </w:div>
    <w:div w:id="1853570494">
      <w:bodyDiv w:val="1"/>
      <w:marLeft w:val="0"/>
      <w:marRight w:val="0"/>
      <w:marTop w:val="0"/>
      <w:marBottom w:val="0"/>
      <w:divBdr>
        <w:top w:val="none" w:sz="0" w:space="0" w:color="auto"/>
        <w:left w:val="none" w:sz="0" w:space="0" w:color="auto"/>
        <w:bottom w:val="none" w:sz="0" w:space="0" w:color="auto"/>
        <w:right w:val="none" w:sz="0" w:space="0" w:color="auto"/>
      </w:divBdr>
    </w:div>
    <w:div w:id="1864980799">
      <w:bodyDiv w:val="1"/>
      <w:marLeft w:val="0"/>
      <w:marRight w:val="0"/>
      <w:marTop w:val="0"/>
      <w:marBottom w:val="0"/>
      <w:divBdr>
        <w:top w:val="none" w:sz="0" w:space="0" w:color="auto"/>
        <w:left w:val="none" w:sz="0" w:space="0" w:color="auto"/>
        <w:bottom w:val="none" w:sz="0" w:space="0" w:color="auto"/>
        <w:right w:val="none" w:sz="0" w:space="0" w:color="auto"/>
      </w:divBdr>
    </w:div>
    <w:div w:id="1887598706">
      <w:bodyDiv w:val="1"/>
      <w:marLeft w:val="0"/>
      <w:marRight w:val="0"/>
      <w:marTop w:val="0"/>
      <w:marBottom w:val="0"/>
      <w:divBdr>
        <w:top w:val="none" w:sz="0" w:space="0" w:color="auto"/>
        <w:left w:val="none" w:sz="0" w:space="0" w:color="auto"/>
        <w:bottom w:val="none" w:sz="0" w:space="0" w:color="auto"/>
        <w:right w:val="none" w:sz="0" w:space="0" w:color="auto"/>
      </w:divBdr>
    </w:div>
    <w:div w:id="18877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rpensionservice.org.uk/local_government/index.asp?siteid=5921&amp;pageid=33736&amp;e=e" TargetMode="Externa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hyperlink" Target="mailto:connect2pensions@oneconnectlimited.co.uk"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lgps.org.uk" TargetMode="External"/><Relationship Id="rId17" Type="http://schemas.openxmlformats.org/officeDocument/2006/relationships/hyperlink" Target="http://www.yourpensionservice.org.uk" TargetMode="External"/><Relationship Id="rId25" Type="http://schemas.openxmlformats.org/officeDocument/2006/relationships/chart" Target="charts/chart6.xml"/><Relationship Id="rId33" Type="http://schemas.openxmlformats.org/officeDocument/2006/relationships/hyperlink" Target="http://www.yourpensionservice.org.uk" TargetMode="External"/><Relationship Id="rId38" Type="http://schemas.openxmlformats.org/officeDocument/2006/relationships/hyperlink" Target="file:///\\corpdata02\res\Finance\TreasMan\Pension%20Fund\Accounting\Year\12-13\Annual%20report\andrew.fox@lancashire.gov.uk" TargetMode="External"/><Relationship Id="rId2" Type="http://schemas.openxmlformats.org/officeDocument/2006/relationships/customXml" Target="../customXml/item2.xml"/><Relationship Id="rId16" Type="http://schemas.openxmlformats.org/officeDocument/2006/relationships/hyperlink" Target="mailto:pensions.helpdesk@lancashire.gov.uk" TargetMode="External"/><Relationship Id="rId20" Type="http://schemas.openxmlformats.org/officeDocument/2006/relationships/hyperlink" Target="http://www.yourpensionservice.org.uk/web/viewdoc.asp?id=64641" TargetMode="External"/><Relationship Id="rId29" Type="http://schemas.openxmlformats.org/officeDocument/2006/relationships/hyperlink" Target="http://lccintranet2/corporate/web/?siteid=2702&amp;pageid=5216&amp;e=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rpensionservice.org.uk/local_government/index.asp?siteid=5921&amp;pageid=33736&amp;e=e" TargetMode="External"/><Relationship Id="rId24" Type="http://schemas.openxmlformats.org/officeDocument/2006/relationships/chart" Target="charts/chart5.xml"/><Relationship Id="rId32" Type="http://schemas.openxmlformats.org/officeDocument/2006/relationships/image" Target="media/image2.jpeg"/><Relationship Id="rId37" Type="http://schemas.openxmlformats.org/officeDocument/2006/relationships/hyperlink" Target="mailto:mike.jensen@lancashire.gov.uk"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onnect2pensions@oneconnectlimited.co.uk" TargetMode="External"/><Relationship Id="rId23" Type="http://schemas.openxmlformats.org/officeDocument/2006/relationships/chart" Target="charts/chart4.xml"/><Relationship Id="rId28" Type="http://schemas.openxmlformats.org/officeDocument/2006/relationships/hyperlink" Target="http://www.yourpensionservice.org.uk" TargetMode="External"/><Relationship Id="rId36" Type="http://schemas.openxmlformats.org/officeDocument/2006/relationships/hyperlink" Target="file:///\\corpdata02\res\Finance\TreasMan\Pension%20Fund\Accounting\Year\12-13\Annual%20report\abigail.leech@lancashire.gov.uk" TargetMode="External"/><Relationship Id="rId10" Type="http://schemas.openxmlformats.org/officeDocument/2006/relationships/hyperlink" Target="http://www.yourpensionservice.org.uk/local_government/index.asp?siteid=5921&amp;pageid=33736&amp;e=e" TargetMode="External"/><Relationship Id="rId19" Type="http://schemas.openxmlformats.org/officeDocument/2006/relationships/image" Target="media/image1.emf"/><Relationship Id="rId31" Type="http://schemas.openxmlformats.org/officeDocument/2006/relationships/chart" Target="charts/chart10.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yourpensionservice.org.uk/web/viewdoc.asp?id=74701" TargetMode="External"/><Relationship Id="rId14" Type="http://schemas.openxmlformats.org/officeDocument/2006/relationships/hyperlink" Target="http://www.yourpensionservice.org.uk/web/viewdoc.asp?id=72142"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hyperlink" Target="mailto:connect2pensions@oneconnectlimited.co.uk"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orpdata02\res\Finance\TreasMan\Pension%20Fund\Accounting\Year\12-13\Annual%20report\Completed%20AR%20sections\Manager%20portfolio%20spli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rpdata02\res\Finance\TreasMan\Pension%20Fund\Performance\12-13\Annual%20report%202012-13\Graphs%202012-13..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ERCER.COM\UK_DATA\Eworking\RET\NW\Lg%20-%20Local%20Government%20Development\Pension%20Scheme\General%20Corresp\2013\ExS_CA_Actuarys%20Statement%20Funding%20Level%20Char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400"/>
              <a:t>2012/13 Manager Portfolio Value (£'m)</a:t>
            </a:r>
          </a:p>
          <a:p>
            <a:pPr>
              <a:defRPr/>
            </a:pPr>
            <a:endParaRPr lang="en-US"/>
          </a:p>
        </c:rich>
      </c:tx>
      <c:layout>
        <c:manualLayout>
          <c:xMode val="edge"/>
          <c:yMode val="edge"/>
          <c:x val="2.1581196581196636E-2"/>
          <c:y val="0"/>
        </c:manualLayout>
      </c:layout>
    </c:title>
    <c:view3D>
      <c:rotX val="75"/>
      <c:perspective val="30"/>
    </c:view3D>
    <c:plotArea>
      <c:layout>
        <c:manualLayout>
          <c:layoutTarget val="inner"/>
          <c:xMode val="edge"/>
          <c:yMode val="edge"/>
          <c:x val="7.9451886695981258E-2"/>
          <c:y val="9.5175218482305035E-2"/>
          <c:w val="0.47221354906394281"/>
          <c:h val="0.8619904242738905"/>
        </c:manualLayout>
      </c:layout>
      <c:pie3DChart>
        <c:varyColors val="1"/>
        <c:ser>
          <c:idx val="0"/>
          <c:order val="0"/>
          <c:tx>
            <c:strRef>
              <c:f>'chart data'!$B$1:$B$2</c:f>
              <c:strCache>
                <c:ptCount val="1"/>
                <c:pt idx="0">
                  <c:v>2012/13 £m</c:v>
                </c:pt>
              </c:strCache>
            </c:strRef>
          </c:tx>
          <c:explosion val="25"/>
          <c:dLbls>
            <c:dLblPos val="inEnd"/>
            <c:showVal val="1"/>
            <c:showPercent val="1"/>
            <c:separator>
</c:separator>
          </c:dLbls>
          <c:cat>
            <c:strRef>
              <c:f>'chart data'!$A$3:$A$13</c:f>
              <c:strCache>
                <c:ptCount val="11"/>
                <c:pt idx="0">
                  <c:v>Internally Managed Portfolios</c:v>
                </c:pt>
                <c:pt idx="1">
                  <c:v>BNYM Transition (Credit and fixed income transition)</c:v>
                </c:pt>
                <c:pt idx="2">
                  <c:v>Baillie Gifford (Global equities)</c:v>
                </c:pt>
                <c:pt idx="3">
                  <c:v>Legal &amp; General (Index tracking - multi asset)</c:v>
                </c:pt>
                <c:pt idx="4">
                  <c:v>Knight Frank (Property)</c:v>
                </c:pt>
                <c:pt idx="5">
                  <c:v>Robeco (Global equities)</c:v>
                </c:pt>
                <c:pt idx="6">
                  <c:v>NGAM (Global equities)</c:v>
                </c:pt>
                <c:pt idx="7">
                  <c:v>MFS (Global equities)</c:v>
                </c:pt>
                <c:pt idx="8">
                  <c:v>Morgan Stanley (Global equities)</c:v>
                </c:pt>
                <c:pt idx="9">
                  <c:v>Capital Dynamics (Private equity)</c:v>
                </c:pt>
                <c:pt idx="10">
                  <c:v>Capital Dynamics (Infrastructure)</c:v>
                </c:pt>
              </c:strCache>
            </c:strRef>
          </c:cat>
          <c:val>
            <c:numRef>
              <c:f>'chart data'!$B$3:$B$13</c:f>
              <c:numCache>
                <c:formatCode>_-* #,##0.0_-;\-* #,##0.0_-;_-* "-"??_-;_-@_-</c:formatCode>
                <c:ptCount val="11"/>
                <c:pt idx="0">
                  <c:v>953.6</c:v>
                </c:pt>
                <c:pt idx="1">
                  <c:v>929.4</c:v>
                </c:pt>
                <c:pt idx="2">
                  <c:v>703.1</c:v>
                </c:pt>
                <c:pt idx="3">
                  <c:v>582.1</c:v>
                </c:pt>
                <c:pt idx="4">
                  <c:v>434.9</c:v>
                </c:pt>
                <c:pt idx="5">
                  <c:v>354.5</c:v>
                </c:pt>
                <c:pt idx="6">
                  <c:v>245.7</c:v>
                </c:pt>
                <c:pt idx="7">
                  <c:v>245</c:v>
                </c:pt>
                <c:pt idx="8">
                  <c:v>234.1</c:v>
                </c:pt>
                <c:pt idx="9">
                  <c:v>229.1</c:v>
                </c:pt>
                <c:pt idx="10">
                  <c:v>77.5</c:v>
                </c:pt>
              </c:numCache>
            </c:numRef>
          </c:val>
        </c:ser>
        <c:ser>
          <c:idx val="1"/>
          <c:order val="1"/>
          <c:tx>
            <c:strRef>
              <c:f>'chart data'!$C$1:$C$2</c:f>
              <c:strCache>
                <c:ptCount val="1"/>
                <c:pt idx="0">
                  <c:v>2012/13 %</c:v>
                </c:pt>
              </c:strCache>
            </c:strRef>
          </c:tx>
          <c:explosion val="25"/>
          <c:cat>
            <c:strRef>
              <c:f>'chart data'!$A$3:$A$13</c:f>
              <c:strCache>
                <c:ptCount val="11"/>
                <c:pt idx="0">
                  <c:v>Internally Managed Portfolios</c:v>
                </c:pt>
                <c:pt idx="1">
                  <c:v>BNYM Transition (Credit and fixed income transition)</c:v>
                </c:pt>
                <c:pt idx="2">
                  <c:v>Baillie Gifford (Global equities)</c:v>
                </c:pt>
                <c:pt idx="3">
                  <c:v>Legal &amp; General (Index tracking - multi asset)</c:v>
                </c:pt>
                <c:pt idx="4">
                  <c:v>Knight Frank (Property)</c:v>
                </c:pt>
                <c:pt idx="5">
                  <c:v>Robeco (Global equities)</c:v>
                </c:pt>
                <c:pt idx="6">
                  <c:v>NGAM (Global equities)</c:v>
                </c:pt>
                <c:pt idx="7">
                  <c:v>MFS (Global equities)</c:v>
                </c:pt>
                <c:pt idx="8">
                  <c:v>Morgan Stanley (Global equities)</c:v>
                </c:pt>
                <c:pt idx="9">
                  <c:v>Capital Dynamics (Private equity)</c:v>
                </c:pt>
                <c:pt idx="10">
                  <c:v>Capital Dynamics (Infrastructure)</c:v>
                </c:pt>
              </c:strCache>
            </c:strRef>
          </c:cat>
          <c:val>
            <c:numRef>
              <c:f>'chart data'!$C$3:$C$13</c:f>
              <c:numCache>
                <c:formatCode>0%</c:formatCode>
                <c:ptCount val="11"/>
                <c:pt idx="0">
                  <c:v>0.19114050912006439</c:v>
                </c:pt>
                <c:pt idx="1">
                  <c:v>0.18628983764281457</c:v>
                </c:pt>
                <c:pt idx="2">
                  <c:v>0.14093004610142384</c:v>
                </c:pt>
                <c:pt idx="3">
                  <c:v>0.11667668871517368</c:v>
                </c:pt>
                <c:pt idx="4">
                  <c:v>8.7171777911404999E-2</c:v>
                </c:pt>
                <c:pt idx="5">
                  <c:v>7.105632391260791E-2</c:v>
                </c:pt>
                <c:pt idx="6">
                  <c:v>4.9248346361996376E-2</c:v>
                </c:pt>
                <c:pt idx="7">
                  <c:v>4.9108037682902471E-2</c:v>
                </c:pt>
                <c:pt idx="8">
                  <c:v>4.6923231108438775E-2</c:v>
                </c:pt>
                <c:pt idx="9">
                  <c:v>4.5921026257767089E-2</c:v>
                </c:pt>
                <c:pt idx="10">
                  <c:v>1.553417518540795E-2</c:v>
                </c:pt>
              </c:numCache>
            </c:numRef>
          </c:val>
        </c:ser>
        <c:dLbls>
          <c:showVal val="1"/>
        </c:dLbls>
      </c:pie3DChart>
    </c:plotArea>
    <c:legend>
      <c:legendPos val="r"/>
      <c:layout>
        <c:manualLayout>
          <c:xMode val="edge"/>
          <c:yMode val="edge"/>
          <c:x val="0.55639817750054088"/>
          <c:y val="8.5425216676503463E-2"/>
          <c:w val="0.44360182249946084"/>
          <c:h val="0.91417765109401994"/>
        </c:manualLayout>
      </c:layout>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4864864864864866"/>
          <c:y val="8.2804467255358269E-2"/>
          <c:w val="0.64864864864867111"/>
          <c:h val="0.78191887957325168"/>
        </c:manualLayout>
      </c:layout>
      <c:barChart>
        <c:barDir val="col"/>
        <c:grouping val="stacked"/>
        <c:ser>
          <c:idx val="0"/>
          <c:order val="0"/>
          <c:tx>
            <c:strRef>
              <c:f>Sheet1!$A$2</c:f>
              <c:strCache>
                <c:ptCount val="1"/>
                <c:pt idx="0">
                  <c:v>Assets</c:v>
                </c:pt>
              </c:strCache>
            </c:strRef>
          </c:tx>
          <c:spPr>
            <a:solidFill>
              <a:srgbClr val="86C100"/>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Sheet1!$B$2:$E$2</c:f>
              <c:numCache>
                <c:formatCode>General</c:formatCode>
                <c:ptCount val="4"/>
                <c:pt idx="0" formatCode="#,##0">
                  <c:v>3962</c:v>
                </c:pt>
                <c:pt idx="2" formatCode="#,##0">
                  <c:v>3689</c:v>
                </c:pt>
              </c:numCache>
            </c:numRef>
          </c:val>
        </c:ser>
        <c:ser>
          <c:idx val="2"/>
          <c:order val="1"/>
          <c:tx>
            <c:strRef>
              <c:f>Sheet1!$A$4</c:f>
              <c:strCache>
                <c:ptCount val="1"/>
                <c:pt idx="0">
                  <c:v>Pensioners</c:v>
                </c:pt>
              </c:strCache>
            </c:strRef>
          </c:tx>
          <c:spPr>
            <a:solidFill>
              <a:srgbClr val="FCC917"/>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Sheet1!$B$4:$E$4</c:f>
              <c:numCache>
                <c:formatCode>#,##0</c:formatCode>
                <c:ptCount val="4"/>
                <c:pt idx="1">
                  <c:v>2120</c:v>
                </c:pt>
                <c:pt idx="3">
                  <c:v>1841</c:v>
                </c:pt>
              </c:numCache>
            </c:numRef>
          </c:val>
        </c:ser>
        <c:ser>
          <c:idx val="3"/>
          <c:order val="2"/>
          <c:tx>
            <c:strRef>
              <c:f>Sheet1!$A$5</c:f>
              <c:strCache>
                <c:ptCount val="1"/>
                <c:pt idx="0">
                  <c:v>Deferred members</c:v>
                </c:pt>
              </c:strCache>
            </c:strRef>
          </c:tx>
          <c:spPr>
            <a:solidFill>
              <a:srgbClr val="FF6400"/>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Sheet1!$B$5:$E$5</c:f>
              <c:numCache>
                <c:formatCode>#,##0</c:formatCode>
                <c:ptCount val="4"/>
                <c:pt idx="1">
                  <c:v>614</c:v>
                </c:pt>
                <c:pt idx="3">
                  <c:v>476</c:v>
                </c:pt>
              </c:numCache>
            </c:numRef>
          </c:val>
        </c:ser>
        <c:ser>
          <c:idx val="4"/>
          <c:order val="3"/>
          <c:tx>
            <c:strRef>
              <c:f>Sheet1!$A$6</c:f>
              <c:strCache>
                <c:ptCount val="1"/>
                <c:pt idx="0">
                  <c:v>Active members</c:v>
                </c:pt>
              </c:strCache>
            </c:strRef>
          </c:tx>
          <c:spPr>
            <a:solidFill>
              <a:srgbClr val="0057A6"/>
            </a:solidFill>
            <a:ln w="25399">
              <a:noFill/>
            </a:ln>
          </c:spPr>
          <c:dLbls>
            <c:spPr>
              <a:noFill/>
              <a:ln w="25399">
                <a:noFill/>
              </a:ln>
            </c:spPr>
            <c:txPr>
              <a:bodyPr/>
              <a:lstStyle/>
              <a:p>
                <a:pPr>
                  <a:defRPr sz="875" b="1" i="0" u="none" strike="noStrike" baseline="0">
                    <a:solidFill>
                      <a:srgbClr val="000000"/>
                    </a:solidFill>
                    <a:latin typeface="Arial"/>
                    <a:ea typeface="Arial"/>
                    <a:cs typeface="Arial"/>
                  </a:defRPr>
                </a:pPr>
                <a:endParaRPr lang="en-US"/>
              </a:p>
            </c:txPr>
            <c:showVal val="1"/>
          </c:dLbls>
          <c:cat>
            <c:strRef>
              <c:f>Sheet1!$B$1:$E$1</c:f>
              <c:strCache>
                <c:ptCount val="4"/>
                <c:pt idx="0">
                  <c:v>Assets</c:v>
                </c:pt>
                <c:pt idx="1">
                  <c:v>Liability value</c:v>
                </c:pt>
                <c:pt idx="2">
                  <c:v>Assets</c:v>
                </c:pt>
                <c:pt idx="3">
                  <c:v>Liability value</c:v>
                </c:pt>
              </c:strCache>
            </c:strRef>
          </c:cat>
          <c:val>
            <c:numRef>
              <c:f>Sheet1!$B$6:$E$6</c:f>
              <c:numCache>
                <c:formatCode>#,##0</c:formatCode>
                <c:ptCount val="4"/>
                <c:pt idx="1">
                  <c:v>2221</c:v>
                </c:pt>
                <c:pt idx="3">
                  <c:v>2082</c:v>
                </c:pt>
              </c:numCache>
            </c:numRef>
          </c:val>
        </c:ser>
        <c:gapWidth val="120"/>
        <c:overlap val="100"/>
        <c:axId val="87968384"/>
        <c:axId val="87998848"/>
      </c:barChart>
      <c:catAx>
        <c:axId val="87968384"/>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87998848"/>
        <c:crosses val="autoZero"/>
        <c:auto val="1"/>
        <c:lblAlgn val="ctr"/>
        <c:lblOffset val="100"/>
        <c:tickLblSkip val="1"/>
        <c:tickMarkSkip val="1"/>
      </c:catAx>
      <c:valAx>
        <c:axId val="87998848"/>
        <c:scaling>
          <c:orientation val="minMax"/>
        </c:scaling>
        <c:axPos val="l"/>
        <c:title>
          <c:tx>
            <c:rich>
              <a:bodyPr/>
              <a:lstStyle/>
              <a:p>
                <a:pPr>
                  <a:defRPr sz="1000" b="1" i="0" u="none" strike="noStrike" baseline="0">
                    <a:solidFill>
                      <a:srgbClr val="000000"/>
                    </a:solidFill>
                    <a:latin typeface="Arial"/>
                    <a:ea typeface="Arial"/>
                    <a:cs typeface="Arial"/>
                  </a:defRPr>
                </a:pPr>
                <a:r>
                  <a:rPr lang="en-GB"/>
                  <a:t>£m</a:t>
                </a:r>
              </a:p>
            </c:rich>
          </c:tx>
          <c:layout>
            <c:manualLayout>
              <c:xMode val="edge"/>
              <c:yMode val="edge"/>
              <c:x val="1.9305019305019686E-2"/>
              <c:y val="0.38139534883720932"/>
            </c:manualLayout>
          </c:layout>
          <c:spPr>
            <a:noFill/>
            <a:ln w="25399">
              <a:noFill/>
            </a:ln>
          </c:spPr>
        </c:title>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87968384"/>
        <c:crosses val="autoZero"/>
        <c:crossBetween val="between"/>
      </c:valAx>
      <c:spPr>
        <a:noFill/>
        <a:ln w="25399">
          <a:noFill/>
        </a:ln>
      </c:spPr>
    </c:plotArea>
    <c:legend>
      <c:legendPos val="r"/>
      <c:layout>
        <c:manualLayout>
          <c:xMode val="edge"/>
          <c:yMode val="edge"/>
          <c:x val="0.76254826254827801"/>
          <c:y val="0.23720930232558141"/>
          <c:w val="0.23745173745174014"/>
          <c:h val="0.44651162790697685"/>
        </c:manualLayout>
      </c:layout>
      <c:spPr>
        <a:noFill/>
        <a:ln w="25399">
          <a:noFill/>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12700">
      <a:solidFill>
        <a:srgbClr val="FFFFFF"/>
      </a:solidFill>
      <a:prstDash val="solid"/>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sz="1600"/>
            </a:pPr>
            <a:r>
              <a:rPr lang="en-GB" sz="1600"/>
              <a:t>One-year External Manager performance to 31 March 2013</a:t>
            </a:r>
          </a:p>
          <a:p>
            <a:pPr>
              <a:defRPr sz="1600"/>
            </a:pPr>
            <a:r>
              <a:rPr lang="en-GB" sz="1600"/>
              <a:t>(* since</a:t>
            </a:r>
            <a:r>
              <a:rPr lang="en-GB" sz="1600" baseline="0"/>
              <a:t> 1 October 2012)</a:t>
            </a:r>
            <a:r>
              <a:rPr lang="en-GB" sz="1600"/>
              <a:t> </a:t>
            </a:r>
          </a:p>
        </c:rich>
      </c:tx>
      <c:spPr>
        <a:noFill/>
        <a:ln w="25400">
          <a:noFill/>
        </a:ln>
      </c:spPr>
    </c:title>
    <c:plotArea>
      <c:layout>
        <c:manualLayout>
          <c:layoutTarget val="inner"/>
          <c:xMode val="edge"/>
          <c:yMode val="edge"/>
          <c:x val="0.10541762754589711"/>
          <c:y val="0.20082388394261177"/>
          <c:w val="0.80922767328026701"/>
          <c:h val="0.38519730785285894"/>
        </c:manualLayout>
      </c:layout>
      <c:barChart>
        <c:barDir val="col"/>
        <c:grouping val="clustered"/>
        <c:ser>
          <c:idx val="0"/>
          <c:order val="0"/>
          <c:tx>
            <c:strRef>
              <c:f>'One year Manager return'!$B$2</c:f>
              <c:strCache>
                <c:ptCount val="1"/>
                <c:pt idx="0">
                  <c:v>Lancashire return</c:v>
                </c:pt>
              </c:strCache>
            </c:strRef>
          </c:tx>
          <c:spPr>
            <a:solidFill>
              <a:srgbClr val="C00000"/>
            </a:solidFill>
          </c:spPr>
          <c:cat>
            <c:strRef>
              <c:f>'One year Manager return'!$A$4:$A$17</c:f>
              <c:strCache>
                <c:ptCount val="14"/>
                <c:pt idx="0">
                  <c:v>Baillie Gifford*</c:v>
                </c:pt>
                <c:pt idx="1">
                  <c:v>L&amp;G Equity</c:v>
                </c:pt>
                <c:pt idx="2">
                  <c:v>Knight Frank</c:v>
                </c:pt>
                <c:pt idx="3">
                  <c:v>Robeco*</c:v>
                </c:pt>
                <c:pt idx="4">
                  <c:v>NGAM*</c:v>
                </c:pt>
                <c:pt idx="5">
                  <c:v>MFS*</c:v>
                </c:pt>
                <c:pt idx="6">
                  <c:v>Morgan Stanley*</c:v>
                </c:pt>
                <c:pt idx="7">
                  <c:v>Capital Dynamics Private Equity</c:v>
                </c:pt>
                <c:pt idx="8">
                  <c:v>Capital Dynamics Infrastructure</c:v>
                </c:pt>
                <c:pt idx="11">
                  <c:v>For 12/13</c:v>
                </c:pt>
                <c:pt idx="12">
                  <c:v>Credit Funds</c:v>
                </c:pt>
                <c:pt idx="13">
                  <c:v>Internal TM bonds</c:v>
                </c:pt>
              </c:strCache>
            </c:strRef>
          </c:cat>
          <c:val>
            <c:numRef>
              <c:f>'One year Manager return'!$B$4:$B$12</c:f>
              <c:numCache>
                <c:formatCode>General</c:formatCode>
                <c:ptCount val="9"/>
                <c:pt idx="0">
                  <c:v>19.260000000000002</c:v>
                </c:pt>
                <c:pt idx="1">
                  <c:v>16.939999999999987</c:v>
                </c:pt>
                <c:pt idx="2">
                  <c:v>3.32</c:v>
                </c:pt>
                <c:pt idx="3">
                  <c:v>17.54</c:v>
                </c:pt>
                <c:pt idx="4">
                  <c:v>27.84</c:v>
                </c:pt>
                <c:pt idx="5">
                  <c:v>24.650000000000023</c:v>
                </c:pt>
                <c:pt idx="6">
                  <c:v>16.87</c:v>
                </c:pt>
                <c:pt idx="7">
                  <c:v>3.51</c:v>
                </c:pt>
                <c:pt idx="8">
                  <c:v>3.05</c:v>
                </c:pt>
              </c:numCache>
            </c:numRef>
          </c:val>
        </c:ser>
        <c:ser>
          <c:idx val="1"/>
          <c:order val="1"/>
          <c:tx>
            <c:strRef>
              <c:f>'One year Manager return'!$C$2</c:f>
              <c:strCache>
                <c:ptCount val="1"/>
                <c:pt idx="0">
                  <c:v>Benchmark return</c:v>
                </c:pt>
              </c:strCache>
            </c:strRef>
          </c:tx>
          <c:spPr>
            <a:solidFill>
              <a:schemeClr val="tx2">
                <a:lumMod val="60000"/>
                <a:lumOff val="40000"/>
              </a:schemeClr>
            </a:solidFill>
          </c:spPr>
          <c:cat>
            <c:strRef>
              <c:f>'One year Manager return'!$A$4:$A$12</c:f>
              <c:strCache>
                <c:ptCount val="9"/>
                <c:pt idx="0">
                  <c:v>Baillie Gifford*</c:v>
                </c:pt>
                <c:pt idx="1">
                  <c:v>L&amp;G Equity</c:v>
                </c:pt>
                <c:pt idx="2">
                  <c:v>Knight Frank</c:v>
                </c:pt>
                <c:pt idx="3">
                  <c:v>Robeco*</c:v>
                </c:pt>
                <c:pt idx="4">
                  <c:v>NGAM*</c:v>
                </c:pt>
                <c:pt idx="5">
                  <c:v>MFS*</c:v>
                </c:pt>
                <c:pt idx="6">
                  <c:v>Morgan Stanley*</c:v>
                </c:pt>
                <c:pt idx="7">
                  <c:v>Capital Dynamics Private Equity</c:v>
                </c:pt>
                <c:pt idx="8">
                  <c:v>Capital Dynamics Infrastructure</c:v>
                </c:pt>
              </c:strCache>
            </c:strRef>
          </c:cat>
          <c:val>
            <c:numRef>
              <c:f>'One year Manager return'!$C$4:$C$12</c:f>
              <c:numCache>
                <c:formatCode>General</c:formatCode>
                <c:ptCount val="9"/>
                <c:pt idx="0">
                  <c:v>17.73</c:v>
                </c:pt>
                <c:pt idx="1">
                  <c:v>16.939999999999987</c:v>
                </c:pt>
                <c:pt idx="2">
                  <c:v>2.5499999999999998</c:v>
                </c:pt>
                <c:pt idx="3">
                  <c:v>17.73</c:v>
                </c:pt>
                <c:pt idx="4">
                  <c:v>17.73</c:v>
                </c:pt>
                <c:pt idx="5">
                  <c:v>17.73</c:v>
                </c:pt>
                <c:pt idx="6">
                  <c:v>17.73</c:v>
                </c:pt>
                <c:pt idx="7">
                  <c:v>16.77</c:v>
                </c:pt>
                <c:pt idx="8" formatCode="0.00">
                  <c:v>8</c:v>
                </c:pt>
              </c:numCache>
            </c:numRef>
          </c:val>
        </c:ser>
        <c:gapWidth val="30"/>
        <c:axId val="87507328"/>
        <c:axId val="87508864"/>
      </c:barChart>
      <c:catAx>
        <c:axId val="87507328"/>
        <c:scaling>
          <c:orientation val="minMax"/>
        </c:scaling>
        <c:axPos val="b"/>
        <c:numFmt formatCode="General" sourceLinked="1"/>
        <c:tickLblPos val="low"/>
        <c:txPr>
          <a:bodyPr rot="5400000" vert="horz"/>
          <a:lstStyle/>
          <a:p>
            <a:pPr>
              <a:defRPr sz="1200"/>
            </a:pPr>
            <a:endParaRPr lang="en-US"/>
          </a:p>
        </c:txPr>
        <c:crossAx val="87508864"/>
        <c:crosses val="autoZero"/>
        <c:auto val="1"/>
        <c:lblAlgn val="ctr"/>
        <c:lblOffset val="250"/>
        <c:tickLblSkip val="1"/>
        <c:tickMarkSkip val="1"/>
      </c:catAx>
      <c:valAx>
        <c:axId val="87508864"/>
        <c:scaling>
          <c:orientation val="minMax"/>
          <c:max val="40"/>
          <c:min val="-2"/>
        </c:scaling>
        <c:axPos val="l"/>
        <c:majorGridlines/>
        <c:title>
          <c:tx>
            <c:rich>
              <a:bodyPr rot="0" vert="horz"/>
              <a:lstStyle/>
              <a:p>
                <a:pPr>
                  <a:defRPr/>
                </a:pPr>
                <a:r>
                  <a:rPr lang="en-GB"/>
                  <a:t>Return %</a:t>
                </a:r>
              </a:p>
            </c:rich>
          </c:tx>
          <c:layout>
            <c:manualLayout>
              <c:xMode val="edge"/>
              <c:yMode val="edge"/>
              <c:x val="2.1574803149606352E-2"/>
              <c:y val="0.39470549421545864"/>
            </c:manualLayout>
          </c:layout>
          <c:spPr>
            <a:noFill/>
            <a:ln w="25400">
              <a:noFill/>
            </a:ln>
          </c:spPr>
        </c:title>
        <c:numFmt formatCode="General" sourceLinked="0"/>
        <c:tickLblPos val="nextTo"/>
        <c:txPr>
          <a:bodyPr rot="0" vert="horz"/>
          <a:lstStyle/>
          <a:p>
            <a:pPr>
              <a:defRPr/>
            </a:pPr>
            <a:endParaRPr lang="en-US"/>
          </a:p>
        </c:txPr>
        <c:crossAx val="87507328"/>
        <c:crosses val="autoZero"/>
        <c:crossBetween val="between"/>
        <c:majorUnit val="10"/>
      </c:valAx>
    </c:plotArea>
    <c:legend>
      <c:legendPos val="t"/>
      <c:layout>
        <c:manualLayout>
          <c:xMode val="edge"/>
          <c:yMode val="edge"/>
          <c:x val="0.64359765125513235"/>
          <c:y val="0.1503581958754934"/>
          <c:w val="0.33032572851470565"/>
          <c:h val="0.13536063609602733"/>
        </c:manualLayout>
      </c:layout>
      <c:txPr>
        <a:bodyPr/>
        <a:lstStyle/>
        <a:p>
          <a:pPr>
            <a:defRPr sz="1200"/>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a:pPr>
            <a:r>
              <a:rPr lang="en-GB" sz="1600"/>
              <a:t>One-year Internal Manager performance to 31 March 2013</a:t>
            </a:r>
          </a:p>
        </c:rich>
      </c:tx>
    </c:title>
    <c:plotArea>
      <c:layout/>
      <c:barChart>
        <c:barDir val="col"/>
        <c:grouping val="clustered"/>
        <c:ser>
          <c:idx val="0"/>
          <c:order val="0"/>
          <c:tx>
            <c:v>Lancashire return</c:v>
          </c:tx>
          <c:spPr>
            <a:solidFill>
              <a:srgbClr val="C00000"/>
            </a:solidFill>
          </c:spPr>
          <c:cat>
            <c:strRef>
              <c:f>'One year Manager return'!$A$16:$A$20</c:f>
              <c:strCache>
                <c:ptCount val="5"/>
                <c:pt idx="0">
                  <c:v>Credit Funds</c:v>
                </c:pt>
                <c:pt idx="1">
                  <c:v>Internal TM bonds</c:v>
                </c:pt>
                <c:pt idx="2">
                  <c:v>Emerging Markets ETF</c:v>
                </c:pt>
                <c:pt idx="3">
                  <c:v>Infrastructure</c:v>
                </c:pt>
                <c:pt idx="4">
                  <c:v>Indirect Property Fund</c:v>
                </c:pt>
              </c:strCache>
            </c:strRef>
          </c:cat>
          <c:val>
            <c:numRef>
              <c:f>'One year Manager return'!$B$16:$B$20</c:f>
              <c:numCache>
                <c:formatCode>0.00</c:formatCode>
                <c:ptCount val="5"/>
                <c:pt idx="0" formatCode="General">
                  <c:v>13.44</c:v>
                </c:pt>
                <c:pt idx="1">
                  <c:v>7.48</c:v>
                </c:pt>
                <c:pt idx="2" formatCode="General">
                  <c:v>15.34</c:v>
                </c:pt>
                <c:pt idx="3" formatCode="General">
                  <c:v>1.9100000000000001</c:v>
                </c:pt>
                <c:pt idx="4" formatCode="General">
                  <c:v>4.34</c:v>
                </c:pt>
              </c:numCache>
            </c:numRef>
          </c:val>
        </c:ser>
        <c:ser>
          <c:idx val="1"/>
          <c:order val="1"/>
          <c:tx>
            <c:v>Benchmark return</c:v>
          </c:tx>
          <c:spPr>
            <a:solidFill>
              <a:srgbClr val="0070C0"/>
            </a:solidFill>
          </c:spPr>
          <c:cat>
            <c:strRef>
              <c:f>'One year Manager return'!$A$16:$A$20</c:f>
              <c:strCache>
                <c:ptCount val="5"/>
                <c:pt idx="0">
                  <c:v>Credit Funds</c:v>
                </c:pt>
                <c:pt idx="1">
                  <c:v>Internal TM bonds</c:v>
                </c:pt>
                <c:pt idx="2">
                  <c:v>Emerging Markets ETF</c:v>
                </c:pt>
                <c:pt idx="3">
                  <c:v>Infrastructure</c:v>
                </c:pt>
                <c:pt idx="4">
                  <c:v>Indirect Property Fund</c:v>
                </c:pt>
              </c:strCache>
            </c:strRef>
          </c:cat>
          <c:val>
            <c:numRef>
              <c:f>'One year Manager return'!$C$16:$C$20</c:f>
              <c:numCache>
                <c:formatCode>General</c:formatCode>
                <c:ptCount val="5"/>
                <c:pt idx="0">
                  <c:v>13.49</c:v>
                </c:pt>
                <c:pt idx="1">
                  <c:v>0.4</c:v>
                </c:pt>
                <c:pt idx="2">
                  <c:v>15.34</c:v>
                </c:pt>
                <c:pt idx="3" formatCode="0.00">
                  <c:v>8</c:v>
                </c:pt>
                <c:pt idx="4">
                  <c:v>4.34</c:v>
                </c:pt>
              </c:numCache>
            </c:numRef>
          </c:val>
        </c:ser>
        <c:axId val="87517824"/>
        <c:axId val="87552384"/>
      </c:barChart>
      <c:catAx>
        <c:axId val="87517824"/>
        <c:scaling>
          <c:orientation val="minMax"/>
        </c:scaling>
        <c:axPos val="b"/>
        <c:tickLblPos val="nextTo"/>
        <c:txPr>
          <a:bodyPr/>
          <a:lstStyle/>
          <a:p>
            <a:pPr>
              <a:defRPr sz="1200"/>
            </a:pPr>
            <a:endParaRPr lang="en-US"/>
          </a:p>
        </c:txPr>
        <c:crossAx val="87552384"/>
        <c:crosses val="autoZero"/>
        <c:auto val="1"/>
        <c:lblAlgn val="ctr"/>
        <c:lblOffset val="100"/>
      </c:catAx>
      <c:valAx>
        <c:axId val="87552384"/>
        <c:scaling>
          <c:orientation val="minMax"/>
          <c:max val="40"/>
          <c:min val="-2"/>
        </c:scaling>
        <c:axPos val="l"/>
        <c:majorGridlines/>
        <c:title>
          <c:tx>
            <c:rich>
              <a:bodyPr rot="0" vert="horz"/>
              <a:lstStyle/>
              <a:p>
                <a:pPr>
                  <a:defRPr/>
                </a:pPr>
                <a:r>
                  <a:rPr lang="en-GB"/>
                  <a:t>Return  %</a:t>
                </a:r>
              </a:p>
            </c:rich>
          </c:tx>
        </c:title>
        <c:numFmt formatCode="General" sourceLinked="1"/>
        <c:tickLblPos val="nextTo"/>
        <c:crossAx val="87517824"/>
        <c:crosses val="autoZero"/>
        <c:crossBetween val="between"/>
        <c:majorUnit val="10"/>
      </c:valAx>
    </c:plotArea>
    <c:legend>
      <c:legendPos val="t"/>
      <c:txPr>
        <a:bodyPr/>
        <a:lstStyle/>
        <a:p>
          <a:pPr>
            <a:defRPr sz="12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sz="1600"/>
            </a:pPr>
            <a:r>
              <a:rPr lang="en-GB" sz="1600"/>
              <a:t>One year performance by asset class to 31 March 2013</a:t>
            </a:r>
          </a:p>
        </c:rich>
      </c:tx>
    </c:title>
    <c:plotArea>
      <c:layout/>
      <c:barChart>
        <c:barDir val="bar"/>
        <c:grouping val="clustered"/>
        <c:ser>
          <c:idx val="0"/>
          <c:order val="0"/>
          <c:tx>
            <c:strRef>
              <c:f>'1 year asset class'!$B$1</c:f>
              <c:strCache>
                <c:ptCount val="1"/>
                <c:pt idx="0">
                  <c:v>Benchmark</c:v>
                </c:pt>
              </c:strCache>
            </c:strRef>
          </c:tx>
          <c:dPt>
            <c:idx val="0"/>
            <c:spPr>
              <a:solidFill>
                <a:srgbClr val="FFC000"/>
              </a:solidFill>
            </c:spPr>
          </c:dPt>
          <c:cat>
            <c:strRef>
              <c:f>'1 year asset class'!$A$2:$A$11</c:f>
              <c:strCache>
                <c:ptCount val="10"/>
                <c:pt idx="0">
                  <c:v>Gilts +2.5% (Actuarial)</c:v>
                </c:pt>
                <c:pt idx="1">
                  <c:v>Cash</c:v>
                </c:pt>
                <c:pt idx="2">
                  <c:v>Infrastructure</c:v>
                </c:pt>
                <c:pt idx="3">
                  <c:v>Internal bonds</c:v>
                </c:pt>
                <c:pt idx="4">
                  <c:v>Non-investment grade credit</c:v>
                </c:pt>
                <c:pt idx="5">
                  <c:v>Property</c:v>
                </c:pt>
                <c:pt idx="6">
                  <c:v>Fixed Income</c:v>
                </c:pt>
                <c:pt idx="7">
                  <c:v>Private equity</c:v>
                </c:pt>
                <c:pt idx="8">
                  <c:v>Public equities</c:v>
                </c:pt>
                <c:pt idx="9">
                  <c:v>Total Fund</c:v>
                </c:pt>
              </c:strCache>
            </c:strRef>
          </c:cat>
          <c:val>
            <c:numRef>
              <c:f>'1 year asset class'!$B$2:$B$11</c:f>
              <c:numCache>
                <c:formatCode>0.00</c:formatCode>
                <c:ptCount val="10"/>
                <c:pt idx="0">
                  <c:v>7.87</c:v>
                </c:pt>
                <c:pt idx="1">
                  <c:v>0.4</c:v>
                </c:pt>
                <c:pt idx="2">
                  <c:v>8</c:v>
                </c:pt>
                <c:pt idx="3">
                  <c:v>0.4</c:v>
                </c:pt>
                <c:pt idx="4">
                  <c:v>13.49</c:v>
                </c:pt>
                <c:pt idx="5">
                  <c:v>2.6</c:v>
                </c:pt>
                <c:pt idx="6">
                  <c:v>9.2100000000000009</c:v>
                </c:pt>
                <c:pt idx="7">
                  <c:v>16.77</c:v>
                </c:pt>
                <c:pt idx="8">
                  <c:v>18</c:v>
                </c:pt>
                <c:pt idx="9">
                  <c:v>13.52</c:v>
                </c:pt>
              </c:numCache>
            </c:numRef>
          </c:val>
        </c:ser>
        <c:ser>
          <c:idx val="1"/>
          <c:order val="1"/>
          <c:tx>
            <c:strRef>
              <c:f>'1 year asset class'!$C$1</c:f>
              <c:strCache>
                <c:ptCount val="1"/>
                <c:pt idx="0">
                  <c:v>Lancashire</c:v>
                </c:pt>
              </c:strCache>
            </c:strRef>
          </c:tx>
          <c:cat>
            <c:strRef>
              <c:f>'1 year asset class'!$A$2:$A$11</c:f>
              <c:strCache>
                <c:ptCount val="10"/>
                <c:pt idx="0">
                  <c:v>Gilts +2.5% (Actuarial)</c:v>
                </c:pt>
                <c:pt idx="1">
                  <c:v>Cash</c:v>
                </c:pt>
                <c:pt idx="2">
                  <c:v>Infrastructure</c:v>
                </c:pt>
                <c:pt idx="3">
                  <c:v>Internal bonds</c:v>
                </c:pt>
                <c:pt idx="4">
                  <c:v>Non-investment grade credit</c:v>
                </c:pt>
                <c:pt idx="5">
                  <c:v>Property</c:v>
                </c:pt>
                <c:pt idx="6">
                  <c:v>Fixed Income</c:v>
                </c:pt>
                <c:pt idx="7">
                  <c:v>Private equity</c:v>
                </c:pt>
                <c:pt idx="8">
                  <c:v>Public equities</c:v>
                </c:pt>
                <c:pt idx="9">
                  <c:v>Total Fund</c:v>
                </c:pt>
              </c:strCache>
            </c:strRef>
          </c:cat>
          <c:val>
            <c:numRef>
              <c:f>'1 year asset class'!$C$2:$C$11</c:f>
              <c:numCache>
                <c:formatCode>0.00</c:formatCode>
                <c:ptCount val="10"/>
                <c:pt idx="1">
                  <c:v>1.54</c:v>
                </c:pt>
                <c:pt idx="2">
                  <c:v>1.9100000000000001</c:v>
                </c:pt>
                <c:pt idx="3">
                  <c:v>7.48</c:v>
                </c:pt>
                <c:pt idx="4">
                  <c:v>13.44</c:v>
                </c:pt>
                <c:pt idx="5">
                  <c:v>3.3899999999999997</c:v>
                </c:pt>
                <c:pt idx="6">
                  <c:v>10.75</c:v>
                </c:pt>
                <c:pt idx="7">
                  <c:v>3.22</c:v>
                </c:pt>
                <c:pt idx="8">
                  <c:v>20.89</c:v>
                </c:pt>
                <c:pt idx="9">
                  <c:v>14.88</c:v>
                </c:pt>
              </c:numCache>
            </c:numRef>
          </c:val>
        </c:ser>
        <c:axId val="87695744"/>
        <c:axId val="87697280"/>
      </c:barChart>
      <c:catAx>
        <c:axId val="87695744"/>
        <c:scaling>
          <c:orientation val="minMax"/>
        </c:scaling>
        <c:axPos val="l"/>
        <c:tickLblPos val="nextTo"/>
        <c:crossAx val="87697280"/>
        <c:crosses val="autoZero"/>
        <c:auto val="1"/>
        <c:lblAlgn val="ctr"/>
        <c:lblOffset val="100"/>
      </c:catAx>
      <c:valAx>
        <c:axId val="87697280"/>
        <c:scaling>
          <c:orientation val="minMax"/>
        </c:scaling>
        <c:axPos val="b"/>
        <c:majorGridlines/>
        <c:title>
          <c:tx>
            <c:rich>
              <a:bodyPr/>
              <a:lstStyle/>
              <a:p>
                <a:pPr>
                  <a:defRPr/>
                </a:pPr>
                <a:r>
                  <a:rPr lang="en-GB"/>
                  <a:t>Return % p.a.</a:t>
                </a:r>
              </a:p>
            </c:rich>
          </c:tx>
        </c:title>
        <c:numFmt formatCode="0.00" sourceLinked="1"/>
        <c:tickLblPos val="nextTo"/>
        <c:crossAx val="87695744"/>
        <c:crosses val="autoZero"/>
        <c:crossBetween val="between"/>
      </c:valAx>
    </c:plotArea>
    <c:legend>
      <c:legendPos val="r"/>
      <c:layout>
        <c:manualLayout>
          <c:xMode val="edge"/>
          <c:yMode val="edge"/>
          <c:x val="0.84632062342418735"/>
          <c:y val="0.48564685824528342"/>
          <c:w val="0.14242761848861718"/>
          <c:h val="0.1030365435089851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26"/>
  <c:chart>
    <c:title>
      <c:tx>
        <c:rich>
          <a:bodyPr/>
          <a:lstStyle/>
          <a:p>
            <a:pPr>
              <a:defRPr sz="1600"/>
            </a:pPr>
            <a:r>
              <a:rPr lang="en-GB" sz="1600"/>
              <a:t>Manager performance since inception </a:t>
            </a:r>
          </a:p>
        </c:rich>
      </c:tx>
      <c:layout>
        <c:manualLayout>
          <c:xMode val="edge"/>
          <c:yMode val="edge"/>
          <c:x val="0.2567800498489326"/>
          <c:y val="6.0301507537688523E-2"/>
        </c:manualLayout>
      </c:layout>
      <c:spPr>
        <a:noFill/>
        <a:ln w="25400">
          <a:noFill/>
        </a:ln>
      </c:spPr>
    </c:title>
    <c:plotArea>
      <c:layout>
        <c:manualLayout>
          <c:layoutTarget val="inner"/>
          <c:xMode val="edge"/>
          <c:yMode val="edge"/>
          <c:x val="0.20584494245911586"/>
          <c:y val="0.22416801526752161"/>
          <c:w val="0.70880039033582365"/>
          <c:h val="0.34082946885525389"/>
        </c:manualLayout>
      </c:layout>
      <c:barChart>
        <c:barDir val="col"/>
        <c:grouping val="clustered"/>
        <c:ser>
          <c:idx val="0"/>
          <c:order val="0"/>
          <c:tx>
            <c:strRef>
              <c:f>'Manager return since inception'!$B$2</c:f>
              <c:strCache>
                <c:ptCount val="1"/>
                <c:pt idx="0">
                  <c:v>Lancashire return</c:v>
                </c:pt>
              </c:strCache>
            </c:strRef>
          </c:tx>
          <c:spPr>
            <a:solidFill>
              <a:srgbClr val="C00000"/>
            </a:solidFill>
          </c:spPr>
          <c:cat>
            <c:strRef>
              <c:f>'Manager return since inception'!$A$3:$A$8</c:f>
              <c:strCache>
                <c:ptCount val="6"/>
                <c:pt idx="0">
                  <c:v>L&amp;G Equity</c:v>
                </c:pt>
                <c:pt idx="1">
                  <c:v>BNYM Transition </c:v>
                </c:pt>
                <c:pt idx="2">
                  <c:v>Knight Frank</c:v>
                </c:pt>
                <c:pt idx="3">
                  <c:v>Capital Dynamics Private Equity</c:v>
                </c:pt>
                <c:pt idx="4">
                  <c:v>Capital Dynamics Infrastructure</c:v>
                </c:pt>
                <c:pt idx="5">
                  <c:v>Internal TM Bonds</c:v>
                </c:pt>
              </c:strCache>
            </c:strRef>
          </c:cat>
          <c:val>
            <c:numRef>
              <c:f>'Manager return since inception'!$B$3:$B$8</c:f>
              <c:numCache>
                <c:formatCode>General</c:formatCode>
                <c:ptCount val="6"/>
                <c:pt idx="0">
                  <c:v>21.82</c:v>
                </c:pt>
                <c:pt idx="1">
                  <c:v>2.0499999999999998</c:v>
                </c:pt>
                <c:pt idx="2">
                  <c:v>7.9700000000000024</c:v>
                </c:pt>
                <c:pt idx="3">
                  <c:v>9.8800000000000008</c:v>
                </c:pt>
                <c:pt idx="4">
                  <c:v>53.92</c:v>
                </c:pt>
                <c:pt idx="5" formatCode="0.00">
                  <c:v>4.78</c:v>
                </c:pt>
              </c:numCache>
            </c:numRef>
          </c:val>
        </c:ser>
        <c:ser>
          <c:idx val="1"/>
          <c:order val="1"/>
          <c:tx>
            <c:strRef>
              <c:f>'Manager return since inception'!$C$2</c:f>
              <c:strCache>
                <c:ptCount val="1"/>
                <c:pt idx="0">
                  <c:v>Benchmark return</c:v>
                </c:pt>
              </c:strCache>
            </c:strRef>
          </c:tx>
          <c:spPr>
            <a:solidFill>
              <a:schemeClr val="tx2">
                <a:lumMod val="60000"/>
                <a:lumOff val="40000"/>
              </a:schemeClr>
            </a:solidFill>
          </c:spPr>
          <c:cat>
            <c:strRef>
              <c:f>'Manager return since inception'!$A$3:$A$8</c:f>
              <c:strCache>
                <c:ptCount val="6"/>
                <c:pt idx="0">
                  <c:v>L&amp;G Equity</c:v>
                </c:pt>
                <c:pt idx="1">
                  <c:v>BNYM Transition </c:v>
                </c:pt>
                <c:pt idx="2">
                  <c:v>Knight Frank</c:v>
                </c:pt>
                <c:pt idx="3">
                  <c:v>Capital Dynamics Private Equity</c:v>
                </c:pt>
                <c:pt idx="4">
                  <c:v>Capital Dynamics Infrastructure</c:v>
                </c:pt>
                <c:pt idx="5">
                  <c:v>Internal TM Bonds</c:v>
                </c:pt>
              </c:strCache>
            </c:strRef>
          </c:cat>
          <c:val>
            <c:numRef>
              <c:f>'Manager return since inception'!$C$3:$C$8</c:f>
              <c:numCache>
                <c:formatCode>General</c:formatCode>
                <c:ptCount val="6"/>
                <c:pt idx="0">
                  <c:v>21.8</c:v>
                </c:pt>
                <c:pt idx="1">
                  <c:v>1.3900000000000001</c:v>
                </c:pt>
                <c:pt idx="2">
                  <c:v>8.1</c:v>
                </c:pt>
                <c:pt idx="3">
                  <c:v>4.9800000000000004</c:v>
                </c:pt>
                <c:pt idx="4" formatCode="0.00">
                  <c:v>8</c:v>
                </c:pt>
                <c:pt idx="5">
                  <c:v>0.44</c:v>
                </c:pt>
              </c:numCache>
            </c:numRef>
          </c:val>
        </c:ser>
        <c:gapWidth val="30"/>
        <c:axId val="87736320"/>
        <c:axId val="87737856"/>
      </c:barChart>
      <c:catAx>
        <c:axId val="87736320"/>
        <c:scaling>
          <c:orientation val="minMax"/>
        </c:scaling>
        <c:axPos val="b"/>
        <c:numFmt formatCode="General" sourceLinked="1"/>
        <c:tickLblPos val="low"/>
        <c:txPr>
          <a:bodyPr rot="5400000" vert="horz"/>
          <a:lstStyle/>
          <a:p>
            <a:pPr>
              <a:defRPr sz="1200"/>
            </a:pPr>
            <a:endParaRPr lang="en-US"/>
          </a:p>
        </c:txPr>
        <c:crossAx val="87737856"/>
        <c:crosses val="autoZero"/>
        <c:auto val="1"/>
        <c:lblAlgn val="ctr"/>
        <c:lblOffset val="250"/>
        <c:tickLblSkip val="1"/>
        <c:tickMarkSkip val="1"/>
      </c:catAx>
      <c:valAx>
        <c:axId val="87737856"/>
        <c:scaling>
          <c:orientation val="minMax"/>
          <c:max val="85"/>
          <c:min val="-2"/>
        </c:scaling>
        <c:axPos val="l"/>
        <c:majorGridlines/>
        <c:title>
          <c:tx>
            <c:rich>
              <a:bodyPr rot="0" vert="horz"/>
              <a:lstStyle/>
              <a:p>
                <a:pPr>
                  <a:defRPr/>
                </a:pPr>
                <a:r>
                  <a:rPr lang="en-GB"/>
                  <a:t>Return % p.a.</a:t>
                </a:r>
              </a:p>
            </c:rich>
          </c:tx>
          <c:layout>
            <c:manualLayout>
              <c:xMode val="edge"/>
              <c:yMode val="edge"/>
              <c:x val="2.0285685443165811E-3"/>
              <c:y val="0.35450441751775896"/>
            </c:manualLayout>
          </c:layout>
          <c:spPr>
            <a:noFill/>
            <a:ln w="25400">
              <a:noFill/>
            </a:ln>
          </c:spPr>
        </c:title>
        <c:numFmt formatCode="General" sourceLinked="0"/>
        <c:tickLblPos val="nextTo"/>
        <c:txPr>
          <a:bodyPr rot="0" vert="horz"/>
          <a:lstStyle/>
          <a:p>
            <a:pPr>
              <a:defRPr/>
            </a:pPr>
            <a:endParaRPr lang="en-US"/>
          </a:p>
        </c:txPr>
        <c:crossAx val="87736320"/>
        <c:crosses val="autoZero"/>
        <c:crossBetween val="between"/>
        <c:majorUnit val="10"/>
      </c:valAx>
    </c:plotArea>
    <c:legend>
      <c:legendPos val="t"/>
      <c:layout>
        <c:manualLayout>
          <c:xMode val="edge"/>
          <c:yMode val="edge"/>
          <c:x val="0.65843267366060054"/>
          <c:y val="0.12452803503189053"/>
          <c:w val="0.22492939866196279"/>
          <c:h val="0.11717986028948454"/>
        </c:manualLayout>
      </c:layout>
      <c:txPr>
        <a:bodyPr/>
        <a:lstStyle/>
        <a:p>
          <a:pPr>
            <a:defRPr sz="1200"/>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style val="25"/>
  <c:chart>
    <c:title>
      <c:tx>
        <c:rich>
          <a:bodyPr/>
          <a:lstStyle/>
          <a:p>
            <a:pPr>
              <a:defRPr/>
            </a:pPr>
            <a:r>
              <a:rPr lang="en-GB"/>
              <a:t>Fund allocations sumary</a:t>
            </a:r>
            <a:r>
              <a:rPr lang="en-GB" baseline="0"/>
              <a:t> since 2010</a:t>
            </a:r>
            <a:endParaRPr lang="en-GB"/>
          </a:p>
        </c:rich>
      </c:tx>
      <c:layout/>
    </c:title>
    <c:plotArea>
      <c:layout>
        <c:manualLayout>
          <c:layoutTarget val="inner"/>
          <c:xMode val="edge"/>
          <c:yMode val="edge"/>
          <c:x val="0.15340756792321938"/>
          <c:y val="0.11836162884702703"/>
          <c:w val="0.82661059738104969"/>
          <c:h val="0.70361606697896939"/>
        </c:manualLayout>
      </c:layout>
      <c:barChart>
        <c:barDir val="col"/>
        <c:grouping val="clustered"/>
        <c:ser>
          <c:idx val="0"/>
          <c:order val="0"/>
          <c:tx>
            <c:strRef>
              <c:f>'Summary allocations'!$A$3</c:f>
              <c:strCache>
                <c:ptCount val="1"/>
                <c:pt idx="0">
                  <c:v>Equities</c:v>
                </c:pt>
              </c:strCache>
            </c:strRef>
          </c:tx>
          <c:spPr>
            <a:solidFill>
              <a:srgbClr val="C0504D">
                <a:lumMod val="75000"/>
              </a:srgbClr>
            </a:solidFill>
          </c:spPr>
          <c:dLbls>
            <c:showVal val="1"/>
          </c:dLbls>
          <c:cat>
            <c:strRef>
              <c:f>'Summary allocations'!$B$2:$E$2</c:f>
              <c:strCache>
                <c:ptCount val="4"/>
                <c:pt idx="0">
                  <c:v>31 March 2010</c:v>
                </c:pt>
                <c:pt idx="1">
                  <c:v>31 March 2011</c:v>
                </c:pt>
                <c:pt idx="2">
                  <c:v>31 March 2012</c:v>
                </c:pt>
                <c:pt idx="3">
                  <c:v>31 March 2013</c:v>
                </c:pt>
              </c:strCache>
            </c:strRef>
          </c:cat>
          <c:val>
            <c:numRef>
              <c:f>'Summary allocations'!$B$3:$E$3</c:f>
              <c:numCache>
                <c:formatCode>General</c:formatCode>
                <c:ptCount val="4"/>
                <c:pt idx="0">
                  <c:v>77</c:v>
                </c:pt>
                <c:pt idx="1">
                  <c:v>77</c:v>
                </c:pt>
                <c:pt idx="2">
                  <c:v>68</c:v>
                </c:pt>
                <c:pt idx="3">
                  <c:v>58</c:v>
                </c:pt>
              </c:numCache>
            </c:numRef>
          </c:val>
        </c:ser>
        <c:ser>
          <c:idx val="1"/>
          <c:order val="1"/>
          <c:tx>
            <c:strRef>
              <c:f>'Summary allocations'!$A$4</c:f>
              <c:strCache>
                <c:ptCount val="1"/>
                <c:pt idx="0">
                  <c:v>Property</c:v>
                </c:pt>
              </c:strCache>
            </c:strRef>
          </c:tx>
          <c:spPr>
            <a:solidFill>
              <a:srgbClr val="92D050"/>
            </a:solidFill>
          </c:spPr>
          <c:dLbls>
            <c:showVal val="1"/>
          </c:dLbls>
          <c:cat>
            <c:strRef>
              <c:f>'Summary allocations'!$B$2:$E$2</c:f>
              <c:strCache>
                <c:ptCount val="4"/>
                <c:pt idx="0">
                  <c:v>31 March 2010</c:v>
                </c:pt>
                <c:pt idx="1">
                  <c:v>31 March 2011</c:v>
                </c:pt>
                <c:pt idx="2">
                  <c:v>31 March 2012</c:v>
                </c:pt>
                <c:pt idx="3">
                  <c:v>31 March 2013</c:v>
                </c:pt>
              </c:strCache>
            </c:strRef>
          </c:cat>
          <c:val>
            <c:numRef>
              <c:f>'Summary allocations'!$B$4:$E$4</c:f>
              <c:numCache>
                <c:formatCode>General</c:formatCode>
                <c:ptCount val="4"/>
                <c:pt idx="0">
                  <c:v>7</c:v>
                </c:pt>
                <c:pt idx="1">
                  <c:v>9</c:v>
                </c:pt>
                <c:pt idx="2">
                  <c:v>9</c:v>
                </c:pt>
                <c:pt idx="3">
                  <c:v>9</c:v>
                </c:pt>
              </c:numCache>
            </c:numRef>
          </c:val>
        </c:ser>
        <c:ser>
          <c:idx val="2"/>
          <c:order val="2"/>
          <c:tx>
            <c:strRef>
              <c:f>'Summary allocations'!$A$5</c:f>
              <c:strCache>
                <c:ptCount val="1"/>
                <c:pt idx="0">
                  <c:v>Lower Volatility</c:v>
                </c:pt>
              </c:strCache>
            </c:strRef>
          </c:tx>
          <c:spPr>
            <a:solidFill>
              <a:schemeClr val="accent4"/>
            </a:solidFill>
          </c:spPr>
          <c:dLbls>
            <c:showVal val="1"/>
          </c:dLbls>
          <c:cat>
            <c:strRef>
              <c:f>'Summary allocations'!$B$2:$E$2</c:f>
              <c:strCache>
                <c:ptCount val="4"/>
                <c:pt idx="0">
                  <c:v>31 March 2010</c:v>
                </c:pt>
                <c:pt idx="1">
                  <c:v>31 March 2011</c:v>
                </c:pt>
                <c:pt idx="2">
                  <c:v>31 March 2012</c:v>
                </c:pt>
                <c:pt idx="3">
                  <c:v>31 March 2013</c:v>
                </c:pt>
              </c:strCache>
            </c:strRef>
          </c:cat>
          <c:val>
            <c:numRef>
              <c:f>'Summary allocations'!$B$5:$E$5</c:f>
              <c:numCache>
                <c:formatCode>General</c:formatCode>
                <c:ptCount val="4"/>
                <c:pt idx="0">
                  <c:v>16</c:v>
                </c:pt>
                <c:pt idx="1">
                  <c:v>14</c:v>
                </c:pt>
                <c:pt idx="2">
                  <c:v>23</c:v>
                </c:pt>
                <c:pt idx="3">
                  <c:v>33</c:v>
                </c:pt>
              </c:numCache>
            </c:numRef>
          </c:val>
        </c:ser>
        <c:axId val="87678976"/>
        <c:axId val="87680512"/>
      </c:barChart>
      <c:catAx>
        <c:axId val="87678976"/>
        <c:scaling>
          <c:orientation val="minMax"/>
        </c:scaling>
        <c:axPos val="b"/>
        <c:numFmt formatCode="General" sourceLinked="1"/>
        <c:tickLblPos val="nextTo"/>
        <c:txPr>
          <a:bodyPr/>
          <a:lstStyle/>
          <a:p>
            <a:pPr>
              <a:defRPr sz="1200"/>
            </a:pPr>
            <a:endParaRPr lang="en-US"/>
          </a:p>
        </c:txPr>
        <c:crossAx val="87680512"/>
        <c:crosses val="autoZero"/>
        <c:auto val="1"/>
        <c:lblAlgn val="ctr"/>
        <c:lblOffset val="100"/>
      </c:catAx>
      <c:valAx>
        <c:axId val="87680512"/>
        <c:scaling>
          <c:orientation val="minMax"/>
        </c:scaling>
        <c:axPos val="l"/>
        <c:majorGridlines/>
        <c:title>
          <c:tx>
            <c:rich>
              <a:bodyPr rot="0" vert="horz"/>
              <a:lstStyle/>
              <a:p>
                <a:pPr>
                  <a:defRPr/>
                </a:pPr>
                <a:r>
                  <a:rPr lang="en-US"/>
                  <a:t>% of Fund</a:t>
                </a:r>
              </a:p>
            </c:rich>
          </c:tx>
          <c:layout>
            <c:manualLayout>
              <c:xMode val="edge"/>
              <c:yMode val="edge"/>
              <c:x val="3.0913369871319461E-2"/>
              <c:y val="0.45013662817839423"/>
            </c:manualLayout>
          </c:layout>
        </c:title>
        <c:numFmt formatCode="General" sourceLinked="1"/>
        <c:tickLblPos val="nextTo"/>
        <c:crossAx val="87678976"/>
        <c:crosses val="autoZero"/>
        <c:crossBetween val="between"/>
      </c:valAx>
    </c:plotArea>
    <c:legend>
      <c:legendPos val="b"/>
      <c:layout/>
      <c:txPr>
        <a:bodyPr/>
        <a:lstStyle/>
        <a:p>
          <a:pPr>
            <a:defRPr sz="1200"/>
          </a:pPr>
          <a:endParaRPr lang="en-US"/>
        </a:p>
      </c:txPr>
    </c:legend>
    <c:plotVisOnly val="1"/>
    <c:dispBlanksAs val="gap"/>
  </c:chart>
  <c:spPr>
    <a:no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Asset allocations as at 31 March 2013</a:t>
            </a:r>
          </a:p>
        </c:rich>
      </c:tx>
      <c:layout/>
    </c:title>
    <c:view3D>
      <c:rotX val="30"/>
      <c:perspective val="30"/>
    </c:view3D>
    <c:plotArea>
      <c:layout>
        <c:manualLayout>
          <c:layoutTarget val="inner"/>
          <c:xMode val="edge"/>
          <c:yMode val="edge"/>
          <c:x val="3.8822147231596056E-2"/>
          <c:y val="0.19697204096339344"/>
          <c:w val="0.5371610215389746"/>
          <c:h val="0.72352036599959013"/>
        </c:manualLayout>
      </c:layout>
      <c:pie3DChart>
        <c:varyColors val="1"/>
        <c:ser>
          <c:idx val="0"/>
          <c:order val="0"/>
          <c:explosion val="25"/>
          <c:dLbls>
            <c:showVal val="1"/>
            <c:showLeaderLines val="1"/>
          </c:dLbls>
          <c:cat>
            <c:strRef>
              <c:f>'Asset Allocations 2 year'!$A$2:$A$8</c:f>
              <c:strCache>
                <c:ptCount val="7"/>
                <c:pt idx="0">
                  <c:v>Equities</c:v>
                </c:pt>
                <c:pt idx="1">
                  <c:v>Private Equity</c:v>
                </c:pt>
                <c:pt idx="2">
                  <c:v>Fixed income bonds and transition</c:v>
                </c:pt>
                <c:pt idx="3">
                  <c:v>Property</c:v>
                </c:pt>
                <c:pt idx="4">
                  <c:v>Infrastructure</c:v>
                </c:pt>
                <c:pt idx="5">
                  <c:v>Non Investment grade fixed income</c:v>
                </c:pt>
                <c:pt idx="6">
                  <c:v>Cash</c:v>
                </c:pt>
              </c:strCache>
            </c:strRef>
          </c:cat>
          <c:val>
            <c:numRef>
              <c:f>'Asset Allocations 2 year'!$B$2:$B$8</c:f>
              <c:numCache>
                <c:formatCode>0%</c:formatCode>
                <c:ptCount val="7"/>
                <c:pt idx="0">
                  <c:v>0.52</c:v>
                </c:pt>
                <c:pt idx="1">
                  <c:v>0.05</c:v>
                </c:pt>
                <c:pt idx="2">
                  <c:v>0.2</c:v>
                </c:pt>
                <c:pt idx="3">
                  <c:v>9.0000000000000024E-2</c:v>
                </c:pt>
                <c:pt idx="4">
                  <c:v>4.0000000000000022E-2</c:v>
                </c:pt>
                <c:pt idx="5">
                  <c:v>8.0000000000000043E-2</c:v>
                </c:pt>
                <c:pt idx="6">
                  <c:v>2.0000000000000011E-2</c:v>
                </c:pt>
              </c:numCache>
            </c:numRef>
          </c:val>
        </c:ser>
      </c:pie3DChart>
    </c:plotArea>
    <c:legend>
      <c:legendPos val="r"/>
      <c:layout>
        <c:manualLayout>
          <c:xMode val="edge"/>
          <c:yMode val="edge"/>
          <c:x val="0.61268891388576463"/>
          <c:y val="0.2578744785365305"/>
          <c:w val="0.36403066283381286"/>
          <c:h val="0.5244694790984886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a:t>Asset allocations as at 31 March 2012</a:t>
            </a:r>
          </a:p>
        </c:rich>
      </c:tx>
      <c:layout/>
    </c:title>
    <c:view3D>
      <c:rotX val="30"/>
      <c:perspective val="30"/>
    </c:view3D>
    <c:plotArea>
      <c:layout/>
      <c:pie3DChart>
        <c:varyColors val="1"/>
        <c:ser>
          <c:idx val="0"/>
          <c:order val="0"/>
          <c:tx>
            <c:strRef>
              <c:f>'Asset Allocations 2 year'!$B$13</c:f>
              <c:strCache>
                <c:ptCount val="1"/>
                <c:pt idx="0">
                  <c:v>2012</c:v>
                </c:pt>
              </c:strCache>
            </c:strRef>
          </c:tx>
          <c:explosion val="25"/>
          <c:dLbls>
            <c:showVal val="1"/>
            <c:showLeaderLines val="1"/>
          </c:dLbls>
          <c:cat>
            <c:strRef>
              <c:f>'Asset Allocations 2 year'!$A$14:$A$20</c:f>
              <c:strCache>
                <c:ptCount val="7"/>
                <c:pt idx="0">
                  <c:v>Equities</c:v>
                </c:pt>
                <c:pt idx="1">
                  <c:v>Private Equity</c:v>
                </c:pt>
                <c:pt idx="2">
                  <c:v>Fixed income bonds and transition</c:v>
                </c:pt>
                <c:pt idx="3">
                  <c:v>Property</c:v>
                </c:pt>
                <c:pt idx="4">
                  <c:v>Infrastructure</c:v>
                </c:pt>
                <c:pt idx="5">
                  <c:v>Non Investment grade fixed income</c:v>
                </c:pt>
                <c:pt idx="6">
                  <c:v>Cash</c:v>
                </c:pt>
              </c:strCache>
            </c:strRef>
          </c:cat>
          <c:val>
            <c:numRef>
              <c:f>'Asset Allocations 2 year'!$B$14:$B$20</c:f>
              <c:numCache>
                <c:formatCode>0%</c:formatCode>
                <c:ptCount val="7"/>
                <c:pt idx="0">
                  <c:v>0.63000000000000078</c:v>
                </c:pt>
                <c:pt idx="1">
                  <c:v>0.05</c:v>
                </c:pt>
                <c:pt idx="2">
                  <c:v>0.18000000000000016</c:v>
                </c:pt>
                <c:pt idx="3">
                  <c:v>9.0000000000000024E-2</c:v>
                </c:pt>
                <c:pt idx="4">
                  <c:v>2.0000000000000011E-2</c:v>
                </c:pt>
                <c:pt idx="5">
                  <c:v>1.0000000000000005E-2</c:v>
                </c:pt>
                <c:pt idx="6">
                  <c:v>3.0000000000000002E-2</c:v>
                </c:pt>
              </c:numCache>
            </c:numRef>
          </c:val>
        </c:ser>
      </c:pie3DChart>
    </c:plotArea>
    <c:legend>
      <c:legendPos val="r"/>
      <c:layout>
        <c:manualLayout>
          <c:xMode val="edge"/>
          <c:yMode val="edge"/>
          <c:x val="0.65059288149728944"/>
          <c:y val="0.30593175853018373"/>
          <c:w val="0.33694605931268007"/>
          <c:h val="0.50686598581117959"/>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4512353918435156"/>
          <c:y val="5.1400554097404488E-2"/>
          <c:w val="0.57493866921378889"/>
          <c:h val="0.8326195683872849"/>
        </c:manualLayout>
      </c:layout>
      <c:bar3DChart>
        <c:barDir val="col"/>
        <c:grouping val="clustered"/>
        <c:varyColors val="1"/>
        <c:ser>
          <c:idx val="0"/>
          <c:order val="0"/>
          <c:cat>
            <c:strRef>
              <c:f>Lancs!$A$2:$A$4</c:f>
              <c:strCache>
                <c:ptCount val="3"/>
                <c:pt idx="0">
                  <c:v>Assets</c:v>
                </c:pt>
                <c:pt idx="1">
                  <c:v>Liabilities</c:v>
                </c:pt>
                <c:pt idx="2">
                  <c:v>Deficit</c:v>
                </c:pt>
              </c:strCache>
            </c:strRef>
          </c:cat>
          <c:val>
            <c:numRef>
              <c:f>Lancs!$B$2:$B$4</c:f>
              <c:numCache>
                <c:formatCode>_-* #,##0_-;\-* #,##0_-;_-* "-"??_-;_-@_-</c:formatCode>
                <c:ptCount val="3"/>
                <c:pt idx="0">
                  <c:v>3962</c:v>
                </c:pt>
                <c:pt idx="1">
                  <c:v>4955</c:v>
                </c:pt>
                <c:pt idx="2">
                  <c:v>993</c:v>
                </c:pt>
              </c:numCache>
            </c:numRef>
          </c:val>
        </c:ser>
        <c:shape val="box"/>
        <c:axId val="88020864"/>
        <c:axId val="88022400"/>
        <c:axId val="0"/>
      </c:bar3DChart>
      <c:catAx>
        <c:axId val="88020864"/>
        <c:scaling>
          <c:orientation val="minMax"/>
        </c:scaling>
        <c:axPos val="b"/>
        <c:numFmt formatCode="General" sourceLinked="1"/>
        <c:tickLblPos val="nextTo"/>
        <c:crossAx val="88022400"/>
        <c:crosses val="autoZero"/>
        <c:auto val="1"/>
        <c:lblAlgn val="ctr"/>
        <c:lblOffset val="100"/>
      </c:catAx>
      <c:valAx>
        <c:axId val="88022400"/>
        <c:scaling>
          <c:orientation val="minMax"/>
        </c:scaling>
        <c:axPos val="l"/>
        <c:majorGridlines/>
        <c:title>
          <c:tx>
            <c:rich>
              <a:bodyPr rot="0" vert="horz"/>
              <a:lstStyle/>
              <a:p>
                <a:pPr>
                  <a:defRPr/>
                </a:pPr>
                <a:r>
                  <a:rPr lang="en-GB"/>
                  <a:t>(£m)</a:t>
                </a:r>
              </a:p>
            </c:rich>
          </c:tx>
          <c:layout/>
        </c:title>
        <c:numFmt formatCode="#,##0" sourceLinked="0"/>
        <c:tickLblPos val="nextTo"/>
        <c:crossAx val="88020864"/>
        <c:crosses val="autoZero"/>
        <c:crossBetween val="between"/>
      </c:valAx>
      <c:spPr>
        <a:noFill/>
        <a:ln w="25400">
          <a:noFill/>
        </a:ln>
      </c:spPr>
    </c:plotArea>
    <c:plotVisOnly val="1"/>
    <c:dispBlanksAs val="gap"/>
  </c:chart>
  <c:spPr>
    <a:noFill/>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0.72939</cdr:x>
      <cdr:y>0.06076</cdr:y>
    </cdr:from>
    <cdr:to>
      <cdr:x>0.96423</cdr:x>
      <cdr:y>0.8941</cdr:y>
    </cdr:to>
    <cdr:sp macro="" textlink="">
      <cdr:nvSpPr>
        <cdr:cNvPr id="4" name="TextBox 3"/>
        <cdr:cNvSpPr txBox="1"/>
      </cdr:nvSpPr>
      <cdr:spPr>
        <a:xfrm xmlns:a="http://schemas.openxmlformats.org/drawingml/2006/main">
          <a:off x="4467226" y="166688"/>
          <a:ext cx="1438275" cy="2286000"/>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en-GB" sz="2000" b="1">
              <a:solidFill>
                <a:schemeClr val="accent1">
                  <a:lumMod val="75000"/>
                </a:schemeClr>
              </a:solidFill>
            </a:rPr>
            <a:t>80%</a:t>
          </a:r>
        </a:p>
        <a:p xmlns:a="http://schemas.openxmlformats.org/drawingml/2006/main">
          <a:pPr algn="ctr"/>
          <a:r>
            <a:rPr lang="en-GB" sz="2000" b="1">
              <a:solidFill>
                <a:schemeClr val="accent1">
                  <a:lumMod val="75000"/>
                </a:schemeClr>
              </a:solidFill>
            </a:rPr>
            <a:t>Funded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 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5F9EB8-0531-4D1C-B709-9698BB492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17605</Words>
  <Characters>99771</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Annual Report</vt:lpstr>
    </vt:vector>
  </TitlesOfParts>
  <Company>Lancashire County Pension Fund</Company>
  <LinksUpToDate>false</LinksUpToDate>
  <CharactersWithSpaces>117142</CharactersWithSpaces>
  <SharedDoc>false</SharedDoc>
  <HLinks>
    <vt:vector size="6" baseType="variant">
      <vt:variant>
        <vt:i4>5439497</vt:i4>
      </vt:variant>
      <vt:variant>
        <vt:i4>6</vt:i4>
      </vt:variant>
      <vt:variant>
        <vt:i4>0</vt:i4>
      </vt:variant>
      <vt:variant>
        <vt:i4>5</vt:i4>
      </vt:variant>
      <vt:variant>
        <vt:lpwstr>http://pensions/documents/valuation 2007 Full Report.pdf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2012 / 13</dc:subject>
  <dc:creator>hgallacher001</dc:creator>
  <cp:keywords/>
  <dc:description/>
  <cp:lastModifiedBy>User</cp:lastModifiedBy>
  <cp:revision>3</cp:revision>
  <cp:lastPrinted>2013-08-19T08:32:00Z</cp:lastPrinted>
  <dcterms:created xsi:type="dcterms:W3CDTF">2013-08-22T13:43:00Z</dcterms:created>
  <dcterms:modified xsi:type="dcterms:W3CDTF">2013-08-22T13:43:00Z</dcterms:modified>
</cp:coreProperties>
</file>